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1C44" w14:textId="77777777" w:rsidR="007D5402" w:rsidRDefault="007D5402">
      <w:pPr>
        <w:pStyle w:val="BodyText"/>
        <w:ind w:left="0"/>
        <w:rPr>
          <w:rFonts w:ascii="Times New Roman"/>
          <w:sz w:val="20"/>
        </w:rPr>
      </w:pPr>
    </w:p>
    <w:p w14:paraId="23212D84" w14:textId="77777777" w:rsidR="007D5402" w:rsidRDefault="007D5402">
      <w:pPr>
        <w:pStyle w:val="BodyText"/>
        <w:ind w:left="0"/>
        <w:rPr>
          <w:rFonts w:ascii="Times New Roman"/>
          <w:sz w:val="20"/>
        </w:rPr>
      </w:pPr>
    </w:p>
    <w:p w14:paraId="4ADBE3C0" w14:textId="77777777" w:rsidR="007D5402" w:rsidRDefault="007D5402">
      <w:pPr>
        <w:pStyle w:val="BodyText"/>
        <w:ind w:left="0"/>
        <w:rPr>
          <w:rFonts w:ascii="Times New Roman"/>
          <w:sz w:val="20"/>
        </w:rPr>
      </w:pPr>
    </w:p>
    <w:p w14:paraId="70BD272F" w14:textId="77777777" w:rsidR="007D5402" w:rsidRDefault="007D5402">
      <w:pPr>
        <w:pStyle w:val="BodyText"/>
        <w:ind w:left="0"/>
        <w:rPr>
          <w:rFonts w:ascii="Times New Roman"/>
          <w:sz w:val="20"/>
        </w:rPr>
      </w:pPr>
    </w:p>
    <w:p w14:paraId="239523EC" w14:textId="77777777" w:rsidR="007D5402" w:rsidRDefault="007D5402">
      <w:pPr>
        <w:pStyle w:val="BodyText"/>
        <w:ind w:left="0"/>
        <w:rPr>
          <w:rFonts w:ascii="Times New Roman"/>
          <w:sz w:val="20"/>
        </w:rPr>
      </w:pPr>
    </w:p>
    <w:p w14:paraId="2B8FD34D" w14:textId="77777777" w:rsidR="007D5402" w:rsidRDefault="007D5402">
      <w:pPr>
        <w:pStyle w:val="BodyText"/>
        <w:ind w:left="0"/>
        <w:rPr>
          <w:rFonts w:ascii="Times New Roman"/>
          <w:sz w:val="20"/>
        </w:rPr>
      </w:pPr>
    </w:p>
    <w:p w14:paraId="47A9FE26" w14:textId="77777777" w:rsidR="007D5402" w:rsidRDefault="007D5402">
      <w:pPr>
        <w:pStyle w:val="BodyText"/>
        <w:spacing w:before="3"/>
        <w:ind w:left="0"/>
        <w:rPr>
          <w:rFonts w:ascii="Times New Roman"/>
          <w:sz w:val="25"/>
        </w:rPr>
      </w:pPr>
    </w:p>
    <w:p w14:paraId="7906B2A9" w14:textId="3669FD81" w:rsidR="007D5402" w:rsidRDefault="002735FA" w:rsidP="004157F8">
      <w:pPr>
        <w:spacing w:before="100" w:line="276" w:lineRule="auto"/>
        <w:ind w:left="107" w:right="1514"/>
        <w:jc w:val="center"/>
        <w:rPr>
          <w:rFonts w:ascii="Trebuchet MS"/>
          <w:sz w:val="56"/>
        </w:rPr>
      </w:pPr>
      <w:r w:rsidRPr="008430F6">
        <w:rPr>
          <w:rFonts w:ascii="Trebuchet MS"/>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WELLS A</w:t>
      </w:r>
      <w:r w:rsidR="008430F6" w:rsidRPr="008430F6">
        <w:rPr>
          <w:rFonts w:ascii="Trebuchet MS"/>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 KINSLEY</w:t>
      </w:r>
    </w:p>
    <w:p w14:paraId="1100FF66" w14:textId="0B15FBFC" w:rsidR="007D5402" w:rsidRPr="008430F6" w:rsidRDefault="004157F8" w:rsidP="004157F8">
      <w:pPr>
        <w:pStyle w:val="BodyText"/>
        <w:spacing w:before="7"/>
        <w:ind w:left="0"/>
        <w:jc w:val="center"/>
        <w:rPr>
          <w:rFonts w:ascii="Trebuchet MS"/>
          <w:color w:val="4F81BD" w:themeColor="accent1"/>
          <w:sz w:val="6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2E46">
        <w:rPr>
          <w:b/>
          <w:bCs/>
          <w:noProof/>
        </w:rPr>
        <w:drawing>
          <wp:inline distT="0" distB="0" distL="0" distR="0" wp14:anchorId="6570B070" wp14:editId="2F2D93E0">
            <wp:extent cx="1689100" cy="1530350"/>
            <wp:effectExtent l="0" t="0" r="6350" b="0"/>
            <wp:docPr id="1444084697"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4697" name="Picture 2" descr="A logo for a schoo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1530350"/>
                    </a:xfrm>
                    <a:prstGeom prst="rect">
                      <a:avLst/>
                    </a:prstGeom>
                    <a:noFill/>
                    <a:ln>
                      <a:noFill/>
                    </a:ln>
                  </pic:spPr>
                </pic:pic>
              </a:graphicData>
            </a:graphic>
          </wp:inline>
        </w:drawing>
      </w:r>
    </w:p>
    <w:p w14:paraId="6E52A539" w14:textId="77777777" w:rsidR="007D5402" w:rsidRPr="008430F6" w:rsidRDefault="00D96B1B" w:rsidP="007A4486">
      <w:pPr>
        <w:pStyle w:val="Heading1"/>
        <w:spacing w:line="276" w:lineRule="auto"/>
        <w:jc w:val="center"/>
        <w:rPr>
          <w:b w:val="0"/>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30F6">
        <w:rPr>
          <w:b w:val="0"/>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sidRPr="008430F6">
        <w:rPr>
          <w:b w:val="0"/>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ATA </w:t>
      </w:r>
      <w:r w:rsidRPr="008430F6">
        <w:rPr>
          <w:b w:val="0"/>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8430F6">
        <w:rPr>
          <w:b w:val="0"/>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ROTECTION </w:t>
      </w:r>
      <w:r w:rsidRPr="008430F6">
        <w:rPr>
          <w:b w:val="0"/>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8430F6">
        <w:rPr>
          <w:b w:val="0"/>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OLICY</w:t>
      </w:r>
    </w:p>
    <w:p w14:paraId="73996C3F" w14:textId="77777777" w:rsidR="007D5402" w:rsidRPr="008430F6" w:rsidRDefault="00D96B1B">
      <w:pPr>
        <w:spacing w:before="120" w:line="276" w:lineRule="auto"/>
        <w:ind w:left="107" w:right="3869"/>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30F6">
        <w:rPr>
          <w:rFonts w:ascii="Trebuchet MS"/>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w:t>
      </w:r>
      <w:r w:rsidRPr="008430F6">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ENERAL </w:t>
      </w:r>
      <w:r w:rsidRPr="008430F6">
        <w:rPr>
          <w:rFonts w:ascii="Trebuchet MS"/>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sidRPr="008430F6">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ATA </w:t>
      </w:r>
      <w:r w:rsidRPr="008430F6">
        <w:rPr>
          <w:rFonts w:ascii="Trebuchet MS"/>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8430F6">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ROTECTION </w:t>
      </w:r>
      <w:r w:rsidRPr="008430F6">
        <w:rPr>
          <w:rFonts w:ascii="Trebuchet MS"/>
          <w:color w:val="4F81BD" w:themeColor="accent1"/>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Pr="008430F6">
        <w:rPr>
          <w:rFonts w:ascii="Trebuchet MS"/>
          <w:color w:val="4F81BD" w:themeColor="accent1"/>
          <w:sz w:val="77"/>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EGULATION</w:t>
      </w:r>
    </w:p>
    <w:p w14:paraId="53889698" w14:textId="77777777" w:rsidR="008430F6" w:rsidRDefault="00D96B1B" w:rsidP="000C7B2B">
      <w:pPr>
        <w:spacing w:before="684" w:line="552" w:lineRule="auto"/>
        <w:ind w:right="5017"/>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30F6">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Date Approved: </w:t>
      </w:r>
      <w:r w:rsidR="008430F6" w:rsidRPr="008430F6">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DEC</w:t>
      </w:r>
      <w:r w:rsidRPr="008430F6">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C7B2B" w:rsidRPr="008430F6">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8430F6">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2735FA" w:rsidRPr="008430F6">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C33D40" w:rsidRPr="008430F6">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14:paraId="3947E86D" w14:textId="74D6124A" w:rsidR="007D5402" w:rsidRPr="008430F6" w:rsidRDefault="00D96B1B" w:rsidP="000C7B2B">
      <w:pPr>
        <w:spacing w:before="684" w:line="552" w:lineRule="auto"/>
        <w:ind w:right="5017"/>
        <w:rPr>
          <w:rFonts w:ascii="Trebuchet MS"/>
          <w:color w:val="4F81BD" w:themeColor="accent1"/>
          <w:sz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30F6">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Date of Review:</w:t>
      </w:r>
      <w:r w:rsidR="008430F6" w:rsidRPr="008430F6">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DEC</w:t>
      </w:r>
      <w:r w:rsidR="002735FA" w:rsidRPr="008430F6">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sidR="00C33D40" w:rsidRPr="008430F6">
        <w:rPr>
          <w:rFonts w:ascii="Trebuchet MS"/>
          <w:color w:val="4F81BD" w:themeColor="accen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16AC6D19" w14:textId="77777777" w:rsidR="007D5402" w:rsidRDefault="00D96B1B">
      <w:pPr>
        <w:pStyle w:val="Heading2"/>
        <w:spacing w:before="92"/>
      </w:pPr>
      <w:r>
        <w:t>Our Commitment:</w:t>
      </w:r>
    </w:p>
    <w:p w14:paraId="6FE22734" w14:textId="19F33C54" w:rsidR="007D5402" w:rsidRDefault="008430F6">
      <w:pPr>
        <w:pStyle w:val="BodyText"/>
        <w:ind w:right="84"/>
      </w:pPr>
      <w:r>
        <w:t>Wells AP Kinsley</w:t>
      </w:r>
      <w:r w:rsidR="00D96B1B">
        <w:t xml:space="preserve"> is committed to the protection of all personal and sensitive data for which it holds responsibility as the Data Controller and the handling of such data in line with the data protection principles and the Data Protection Act (DPA).</w:t>
      </w:r>
    </w:p>
    <w:p w14:paraId="5206EEE6" w14:textId="77777777" w:rsidR="007D5402" w:rsidRDefault="007D5402">
      <w:pPr>
        <w:pStyle w:val="BodyText"/>
        <w:ind w:left="0"/>
      </w:pPr>
    </w:p>
    <w:p w14:paraId="6F07D4E1" w14:textId="77777777" w:rsidR="007D5402" w:rsidRDefault="00D96B1B">
      <w:pPr>
        <w:pStyle w:val="BodyText"/>
      </w:pPr>
      <w:hyperlink r:id="rId8">
        <w:r>
          <w:rPr>
            <w:color w:val="0000FF"/>
            <w:u w:val="single" w:color="0000FF"/>
          </w:rPr>
          <w:t>Guide to data protection | ICO</w:t>
        </w:r>
      </w:hyperlink>
    </w:p>
    <w:p w14:paraId="1A7EA816" w14:textId="77777777" w:rsidR="007D5402" w:rsidRDefault="00D96B1B">
      <w:pPr>
        <w:pStyle w:val="BodyText"/>
        <w:ind w:right="1031"/>
      </w:pPr>
      <w:r>
        <w:t>Changes to data protection legislation (GDPR May 2018) shall be monitored and implemented in order to remain compliant with all requirements.</w:t>
      </w:r>
    </w:p>
    <w:p w14:paraId="080320A6" w14:textId="77777777" w:rsidR="007D5402" w:rsidRDefault="007D5402">
      <w:pPr>
        <w:pStyle w:val="BodyText"/>
        <w:ind w:left="0"/>
      </w:pPr>
    </w:p>
    <w:p w14:paraId="7B082CCF" w14:textId="77777777" w:rsidR="007D5402" w:rsidRDefault="00D96B1B">
      <w:pPr>
        <w:pStyle w:val="BodyText"/>
      </w:pPr>
      <w:r>
        <w:t>The legal bases for processing data are as follows –</w:t>
      </w:r>
    </w:p>
    <w:p w14:paraId="03ABFD5C" w14:textId="2E58A39F" w:rsidR="007D5402" w:rsidRDefault="00D96B1B">
      <w:pPr>
        <w:pStyle w:val="ListParagraph"/>
        <w:numPr>
          <w:ilvl w:val="0"/>
          <w:numId w:val="2"/>
        </w:numPr>
        <w:tabs>
          <w:tab w:val="left" w:pos="468"/>
        </w:tabs>
        <w:ind w:right="1129" w:firstLine="0"/>
        <w:rPr>
          <w:sz w:val="24"/>
        </w:rPr>
      </w:pPr>
      <w:r>
        <w:rPr>
          <w:b/>
          <w:sz w:val="24"/>
        </w:rPr>
        <w:t xml:space="preserve">Consent: </w:t>
      </w:r>
      <w:r>
        <w:rPr>
          <w:sz w:val="24"/>
        </w:rPr>
        <w:t xml:space="preserve">the member of staff/student/parent has given clear consent for the </w:t>
      </w:r>
      <w:r w:rsidR="00C93488">
        <w:rPr>
          <w:sz w:val="24"/>
        </w:rPr>
        <w:t>Provision</w:t>
      </w:r>
      <w:r>
        <w:rPr>
          <w:sz w:val="24"/>
        </w:rPr>
        <w:t xml:space="preserve"> to process their personal data for a specific</w:t>
      </w:r>
      <w:r>
        <w:rPr>
          <w:spacing w:val="-9"/>
          <w:sz w:val="24"/>
        </w:rPr>
        <w:t xml:space="preserve"> </w:t>
      </w:r>
      <w:r>
        <w:rPr>
          <w:sz w:val="24"/>
        </w:rPr>
        <w:t>purpose.</w:t>
      </w:r>
    </w:p>
    <w:p w14:paraId="78236525" w14:textId="77777777" w:rsidR="007D5402" w:rsidRDefault="00D96B1B">
      <w:pPr>
        <w:pStyle w:val="ListParagraph"/>
        <w:numPr>
          <w:ilvl w:val="0"/>
          <w:numId w:val="2"/>
        </w:numPr>
        <w:tabs>
          <w:tab w:val="left" w:pos="480"/>
        </w:tabs>
        <w:spacing w:before="1"/>
        <w:ind w:right="1102" w:firstLine="0"/>
        <w:rPr>
          <w:sz w:val="24"/>
        </w:rPr>
      </w:pPr>
      <w:r>
        <w:rPr>
          <w:b/>
          <w:sz w:val="24"/>
        </w:rPr>
        <w:t xml:space="preserve">Contract: </w:t>
      </w:r>
      <w:r>
        <w:rPr>
          <w:sz w:val="24"/>
        </w:rPr>
        <w:t>the processing is necessary for the member of staff’s employment contract or student placement</w:t>
      </w:r>
      <w:r>
        <w:rPr>
          <w:spacing w:val="-2"/>
          <w:sz w:val="24"/>
        </w:rPr>
        <w:t xml:space="preserve"> </w:t>
      </w:r>
      <w:r>
        <w:rPr>
          <w:sz w:val="24"/>
        </w:rPr>
        <w:t>contract.</w:t>
      </w:r>
    </w:p>
    <w:p w14:paraId="00EC3B86" w14:textId="59E2DBD0" w:rsidR="007D5402" w:rsidRDefault="00D96B1B">
      <w:pPr>
        <w:pStyle w:val="ListParagraph"/>
        <w:numPr>
          <w:ilvl w:val="0"/>
          <w:numId w:val="2"/>
        </w:numPr>
        <w:tabs>
          <w:tab w:val="left" w:pos="468"/>
        </w:tabs>
        <w:ind w:right="796" w:firstLine="0"/>
        <w:rPr>
          <w:sz w:val="24"/>
        </w:rPr>
      </w:pPr>
      <w:r>
        <w:rPr>
          <w:b/>
          <w:sz w:val="24"/>
        </w:rPr>
        <w:t xml:space="preserve">Legal obligation: </w:t>
      </w:r>
      <w:r>
        <w:rPr>
          <w:sz w:val="24"/>
        </w:rPr>
        <w:t xml:space="preserve">the processing is necessary for the </w:t>
      </w:r>
      <w:r w:rsidR="00C93488">
        <w:rPr>
          <w:sz w:val="24"/>
        </w:rPr>
        <w:t>Provision</w:t>
      </w:r>
      <w:r>
        <w:rPr>
          <w:sz w:val="24"/>
        </w:rPr>
        <w:t xml:space="preserve"> to comply with the law (not including contractual</w:t>
      </w:r>
      <w:r>
        <w:rPr>
          <w:spacing w:val="-8"/>
          <w:sz w:val="24"/>
        </w:rPr>
        <w:t xml:space="preserve"> </w:t>
      </w:r>
      <w:r>
        <w:rPr>
          <w:sz w:val="24"/>
        </w:rPr>
        <w:t>obligations)</w:t>
      </w:r>
    </w:p>
    <w:p w14:paraId="01B4398F" w14:textId="77777777" w:rsidR="007D5402" w:rsidRDefault="007D5402">
      <w:pPr>
        <w:pStyle w:val="BodyText"/>
        <w:ind w:left="0"/>
      </w:pPr>
    </w:p>
    <w:p w14:paraId="7A10C710" w14:textId="6D98FBBA" w:rsidR="007D5402" w:rsidRDefault="00D96B1B">
      <w:pPr>
        <w:pStyle w:val="BodyText"/>
        <w:tabs>
          <w:tab w:val="left" w:pos="3645"/>
        </w:tabs>
        <w:ind w:right="289"/>
      </w:pPr>
      <w:r>
        <w:t xml:space="preserve">The members of staff responsible for data protection within our </w:t>
      </w:r>
      <w:r w:rsidR="00C93488">
        <w:t>Provision</w:t>
      </w:r>
      <w:r>
        <w:t xml:space="preserve">, </w:t>
      </w:r>
      <w:r w:rsidR="008430F6">
        <w:t>Lois</w:t>
      </w:r>
      <w:r w:rsidR="002735FA">
        <w:t xml:space="preserve"> Hill Director</w:t>
      </w:r>
      <w:r>
        <w:t>,</w:t>
      </w:r>
      <w:r w:rsidR="002735FA">
        <w:t xml:space="preserve"> David Hill </w:t>
      </w:r>
      <w:r w:rsidR="008430F6">
        <w:t>Business Manager</w:t>
      </w:r>
      <w:r>
        <w:t>.</w:t>
      </w:r>
      <w:r w:rsidR="00C93488">
        <w:t xml:space="preserve"> </w:t>
      </w:r>
      <w:r>
        <w:t>However all staff must treat all student information in</w:t>
      </w:r>
      <w:r>
        <w:rPr>
          <w:spacing w:val="-25"/>
        </w:rPr>
        <w:t xml:space="preserve"> </w:t>
      </w:r>
      <w:r>
        <w:t>a confidential manner and follow the guidelines as set out in this</w:t>
      </w:r>
      <w:r>
        <w:rPr>
          <w:spacing w:val="-18"/>
        </w:rPr>
        <w:t xml:space="preserve"> </w:t>
      </w:r>
      <w:r>
        <w:t>document.</w:t>
      </w:r>
    </w:p>
    <w:p w14:paraId="70B1AB47" w14:textId="77777777" w:rsidR="007D5402" w:rsidRDefault="007D5402">
      <w:pPr>
        <w:pStyle w:val="BodyText"/>
        <w:ind w:left="0"/>
      </w:pPr>
    </w:p>
    <w:p w14:paraId="2EA3F1A0" w14:textId="71CA1E1C" w:rsidR="007D5402" w:rsidRDefault="00D96B1B">
      <w:pPr>
        <w:pStyle w:val="BodyText"/>
        <w:spacing w:before="92"/>
      </w:pPr>
      <w:r>
        <w:t xml:space="preserve">The </w:t>
      </w:r>
      <w:r w:rsidR="00C93488">
        <w:t>Provision</w:t>
      </w:r>
      <w:r>
        <w:t xml:space="preserve"> is committed to ensuring that its staff are aware of data protection</w:t>
      </w:r>
    </w:p>
    <w:p w14:paraId="627956D9" w14:textId="7190A614" w:rsidR="007D5402" w:rsidRDefault="00D96B1B">
      <w:pPr>
        <w:pStyle w:val="BodyText"/>
        <w:ind w:right="164"/>
      </w:pPr>
      <w:r>
        <w:t xml:space="preserve">policies, legal requirements and adequate training is provided by </w:t>
      </w:r>
      <w:r w:rsidR="002735FA">
        <w:t>Wakefield MDC</w:t>
      </w:r>
      <w:r>
        <w:t>.</w:t>
      </w:r>
    </w:p>
    <w:p w14:paraId="6405A6DC" w14:textId="77777777" w:rsidR="007D5402" w:rsidRDefault="007D5402">
      <w:pPr>
        <w:pStyle w:val="BodyText"/>
        <w:ind w:left="0"/>
      </w:pPr>
    </w:p>
    <w:p w14:paraId="47DF3291" w14:textId="604A9DCA" w:rsidR="007D5402" w:rsidRDefault="00D96B1B">
      <w:pPr>
        <w:pStyle w:val="BodyText"/>
        <w:spacing w:before="1"/>
        <w:ind w:right="938"/>
      </w:pPr>
      <w:r>
        <w:t xml:space="preserve">The requirements of this policy are mandatory for all staff employed by the </w:t>
      </w:r>
      <w:r w:rsidR="00C93488">
        <w:t>Provision</w:t>
      </w:r>
      <w:r>
        <w:t xml:space="preserve"> and any third party contracted to provide services within the </w:t>
      </w:r>
      <w:r w:rsidR="00C93488">
        <w:t>Provision</w:t>
      </w:r>
      <w:r>
        <w:t>.</w:t>
      </w:r>
    </w:p>
    <w:p w14:paraId="58A3CD0D" w14:textId="77777777" w:rsidR="007D5402" w:rsidRDefault="007D5402">
      <w:pPr>
        <w:pStyle w:val="BodyText"/>
        <w:spacing w:before="11"/>
        <w:ind w:left="0"/>
        <w:rPr>
          <w:sz w:val="23"/>
        </w:rPr>
      </w:pPr>
    </w:p>
    <w:p w14:paraId="1EFE468A" w14:textId="77777777" w:rsidR="007D5402" w:rsidRDefault="00D96B1B">
      <w:pPr>
        <w:pStyle w:val="Heading2"/>
      </w:pPr>
      <w:r>
        <w:t>Notification:</w:t>
      </w:r>
    </w:p>
    <w:p w14:paraId="1BE4D54E" w14:textId="77777777" w:rsidR="007D5402" w:rsidRDefault="00D96B1B">
      <w:pPr>
        <w:pStyle w:val="BodyText"/>
        <w:ind w:right="632"/>
      </w:pPr>
      <w:r>
        <w:t>Our data processing activities will be registered with the Information Commissioner’s Office (ICO) as required of a recognised Data Controller. Details are available from the ICO:</w:t>
      </w:r>
    </w:p>
    <w:p w14:paraId="34D7DB84" w14:textId="77777777" w:rsidR="007D5402" w:rsidRDefault="00D96B1B">
      <w:pPr>
        <w:pStyle w:val="BodyText"/>
        <w:spacing w:before="1"/>
      </w:pPr>
      <w:hyperlink r:id="rId9">
        <w:r>
          <w:rPr>
            <w:color w:val="0000FF"/>
            <w:u w:val="single" w:color="0000FF"/>
          </w:rPr>
          <w:t>Register of data controllers | ICO</w:t>
        </w:r>
      </w:hyperlink>
    </w:p>
    <w:p w14:paraId="580D2A0C" w14:textId="77777777" w:rsidR="007D5402" w:rsidRDefault="00D96B1B">
      <w:pPr>
        <w:pStyle w:val="BodyText"/>
        <w:ind w:right="632"/>
      </w:pPr>
      <w:r>
        <w:t>Changes to the type of data processing activities being undertaken shall be notified to the ICO and details amended in the register.</w:t>
      </w:r>
    </w:p>
    <w:p w14:paraId="0C12F910" w14:textId="77777777" w:rsidR="007D5402" w:rsidRDefault="00D96B1B">
      <w:pPr>
        <w:pStyle w:val="BodyText"/>
        <w:spacing w:line="242" w:lineRule="auto"/>
        <w:ind w:right="1418"/>
      </w:pPr>
      <w:r>
        <w:t>Breaches of personal or sensitive data shall be notified within 72 hours to the individual(s) concerned and the ICO.</w:t>
      </w:r>
    </w:p>
    <w:p w14:paraId="4EE9811A" w14:textId="77777777" w:rsidR="007D5402" w:rsidRDefault="007D5402">
      <w:pPr>
        <w:pStyle w:val="BodyText"/>
        <w:spacing w:before="4"/>
        <w:ind w:left="0"/>
        <w:rPr>
          <w:sz w:val="20"/>
        </w:rPr>
      </w:pPr>
    </w:p>
    <w:p w14:paraId="6F0A9550" w14:textId="77777777" w:rsidR="007D5402" w:rsidRDefault="00D96B1B">
      <w:pPr>
        <w:pStyle w:val="Heading2"/>
        <w:jc w:val="both"/>
      </w:pPr>
      <w:r>
        <w:t>Personal and Sensitive Data:</w:t>
      </w:r>
    </w:p>
    <w:p w14:paraId="040F1A39" w14:textId="376CDB20" w:rsidR="007D5402" w:rsidRDefault="00D96B1B">
      <w:pPr>
        <w:pStyle w:val="BodyText"/>
        <w:ind w:right="620"/>
        <w:jc w:val="both"/>
      </w:pPr>
      <w:r>
        <w:t xml:space="preserve">All data within the </w:t>
      </w:r>
      <w:r w:rsidR="00C93488">
        <w:t>Provision</w:t>
      </w:r>
      <w:r>
        <w:t>’s control shall be identified as personal, sensitive or both to ensure that it is handled in compliance with legal requirements and access to it does not breach the rights of the individuals to whom it relates.</w:t>
      </w:r>
    </w:p>
    <w:p w14:paraId="526DAF6F" w14:textId="77777777" w:rsidR="007D5402" w:rsidRDefault="00D96B1B">
      <w:pPr>
        <w:pStyle w:val="BodyText"/>
        <w:spacing w:before="1"/>
        <w:ind w:right="590"/>
      </w:pPr>
      <w:r>
        <w:t xml:space="preserve">The definitions of personal and sensitive data shall be as those published by the ICO for guidance: The principles of the Data Protection Act shall be applied to all data processed: </w:t>
      </w:r>
      <w:hyperlink r:id="rId10">
        <w:r>
          <w:rPr>
            <w:color w:val="0000FF"/>
            <w:u w:val="single" w:color="0000FF"/>
          </w:rPr>
          <w:t>Key definitions of the Data Protection Act | ICO</w:t>
        </w:r>
      </w:hyperlink>
    </w:p>
    <w:p w14:paraId="54F00E0A" w14:textId="77777777" w:rsidR="007D5402" w:rsidRDefault="007D5402">
      <w:pPr>
        <w:sectPr w:rsidR="007D5402" w:rsidSect="00C170CB">
          <w:footerReference w:type="default" r:id="rId11"/>
          <w:pgSz w:w="11910" w:h="17340"/>
          <w:pgMar w:top="1661" w:right="862" w:bottom="1559" w:left="1338" w:header="0" w:footer="1372" w:gutter="0"/>
          <w:paperSrc w:first="257" w:other="257"/>
          <w:cols w:space="720"/>
        </w:sectPr>
      </w:pPr>
    </w:p>
    <w:p w14:paraId="185771DF" w14:textId="77777777" w:rsidR="007D5402" w:rsidRDefault="00D96B1B">
      <w:pPr>
        <w:pStyle w:val="ListParagraph"/>
        <w:numPr>
          <w:ilvl w:val="0"/>
          <w:numId w:val="1"/>
        </w:numPr>
        <w:tabs>
          <w:tab w:val="left" w:pos="259"/>
        </w:tabs>
        <w:spacing w:before="67"/>
        <w:ind w:left="258" w:hanging="152"/>
        <w:rPr>
          <w:sz w:val="24"/>
        </w:rPr>
      </w:pPr>
      <w:r>
        <w:rPr>
          <w:sz w:val="24"/>
        </w:rPr>
        <w:lastRenderedPageBreak/>
        <w:t>ensure that data is fairly and lawfully</w:t>
      </w:r>
      <w:r>
        <w:rPr>
          <w:spacing w:val="-13"/>
          <w:sz w:val="24"/>
        </w:rPr>
        <w:t xml:space="preserve"> </w:t>
      </w:r>
      <w:r>
        <w:rPr>
          <w:sz w:val="24"/>
        </w:rPr>
        <w:t>processed</w:t>
      </w:r>
    </w:p>
    <w:p w14:paraId="6DB8427D" w14:textId="77777777" w:rsidR="007D5402" w:rsidRDefault="00D96B1B">
      <w:pPr>
        <w:pStyle w:val="ListParagraph"/>
        <w:numPr>
          <w:ilvl w:val="0"/>
          <w:numId w:val="1"/>
        </w:numPr>
        <w:tabs>
          <w:tab w:val="left" w:pos="259"/>
        </w:tabs>
        <w:ind w:left="258" w:hanging="152"/>
        <w:rPr>
          <w:sz w:val="24"/>
        </w:rPr>
      </w:pPr>
      <w:r>
        <w:rPr>
          <w:sz w:val="24"/>
        </w:rPr>
        <w:t>process data only for limited</w:t>
      </w:r>
      <w:r>
        <w:rPr>
          <w:spacing w:val="-11"/>
          <w:sz w:val="24"/>
        </w:rPr>
        <w:t xml:space="preserve"> </w:t>
      </w:r>
      <w:r>
        <w:rPr>
          <w:sz w:val="24"/>
        </w:rPr>
        <w:t>purposes</w:t>
      </w:r>
    </w:p>
    <w:p w14:paraId="50DBA461" w14:textId="77777777" w:rsidR="007D5402" w:rsidRDefault="00D96B1B">
      <w:pPr>
        <w:pStyle w:val="ListParagraph"/>
        <w:numPr>
          <w:ilvl w:val="0"/>
          <w:numId w:val="1"/>
        </w:numPr>
        <w:tabs>
          <w:tab w:val="left" w:pos="259"/>
        </w:tabs>
        <w:spacing w:before="1"/>
        <w:ind w:left="258" w:hanging="152"/>
        <w:rPr>
          <w:sz w:val="24"/>
        </w:rPr>
      </w:pPr>
      <w:r>
        <w:rPr>
          <w:sz w:val="24"/>
        </w:rPr>
        <w:t>ensure that all data processed is adequate, relevant and not</w:t>
      </w:r>
      <w:r>
        <w:rPr>
          <w:spacing w:val="-17"/>
          <w:sz w:val="24"/>
        </w:rPr>
        <w:t xml:space="preserve"> </w:t>
      </w:r>
      <w:r>
        <w:rPr>
          <w:sz w:val="24"/>
        </w:rPr>
        <w:t>excessive</w:t>
      </w:r>
    </w:p>
    <w:p w14:paraId="153DF788" w14:textId="77777777" w:rsidR="007D5402" w:rsidRDefault="00D96B1B">
      <w:pPr>
        <w:pStyle w:val="ListParagraph"/>
        <w:numPr>
          <w:ilvl w:val="0"/>
          <w:numId w:val="1"/>
        </w:numPr>
        <w:tabs>
          <w:tab w:val="left" w:pos="259"/>
        </w:tabs>
        <w:ind w:left="258" w:hanging="152"/>
        <w:rPr>
          <w:sz w:val="24"/>
        </w:rPr>
      </w:pPr>
      <w:r>
        <w:rPr>
          <w:sz w:val="24"/>
        </w:rPr>
        <w:t>ensure that data processed is</w:t>
      </w:r>
      <w:r>
        <w:rPr>
          <w:spacing w:val="-14"/>
          <w:sz w:val="24"/>
        </w:rPr>
        <w:t xml:space="preserve"> </w:t>
      </w:r>
      <w:r>
        <w:rPr>
          <w:sz w:val="24"/>
        </w:rPr>
        <w:t>accurate</w:t>
      </w:r>
    </w:p>
    <w:p w14:paraId="054DCB2A" w14:textId="77777777" w:rsidR="007D5402" w:rsidRDefault="00D96B1B">
      <w:pPr>
        <w:pStyle w:val="ListParagraph"/>
        <w:numPr>
          <w:ilvl w:val="0"/>
          <w:numId w:val="1"/>
        </w:numPr>
        <w:tabs>
          <w:tab w:val="left" w:pos="259"/>
        </w:tabs>
        <w:ind w:left="258" w:hanging="152"/>
        <w:rPr>
          <w:sz w:val="24"/>
        </w:rPr>
      </w:pPr>
      <w:r>
        <w:rPr>
          <w:sz w:val="24"/>
        </w:rPr>
        <w:t>not keep data longer than is</w:t>
      </w:r>
      <w:r>
        <w:rPr>
          <w:spacing w:val="-17"/>
          <w:sz w:val="24"/>
        </w:rPr>
        <w:t xml:space="preserve"> </w:t>
      </w:r>
      <w:r>
        <w:rPr>
          <w:sz w:val="24"/>
        </w:rPr>
        <w:t>necessary</w:t>
      </w:r>
    </w:p>
    <w:p w14:paraId="1477CAED" w14:textId="77777777" w:rsidR="007D5402" w:rsidRDefault="00D96B1B">
      <w:pPr>
        <w:pStyle w:val="ListParagraph"/>
        <w:numPr>
          <w:ilvl w:val="0"/>
          <w:numId w:val="1"/>
        </w:numPr>
        <w:tabs>
          <w:tab w:val="left" w:pos="259"/>
        </w:tabs>
        <w:ind w:left="258" w:hanging="152"/>
        <w:rPr>
          <w:sz w:val="24"/>
        </w:rPr>
      </w:pPr>
      <w:r>
        <w:rPr>
          <w:sz w:val="24"/>
        </w:rPr>
        <w:t>process the data in accordance with the data subject's</w:t>
      </w:r>
      <w:r>
        <w:rPr>
          <w:spacing w:val="-9"/>
          <w:sz w:val="24"/>
        </w:rPr>
        <w:t xml:space="preserve"> </w:t>
      </w:r>
      <w:r>
        <w:rPr>
          <w:sz w:val="24"/>
        </w:rPr>
        <w:t>rights</w:t>
      </w:r>
    </w:p>
    <w:p w14:paraId="52B09035" w14:textId="77777777" w:rsidR="007D5402" w:rsidRDefault="00D96B1B">
      <w:pPr>
        <w:pStyle w:val="ListParagraph"/>
        <w:numPr>
          <w:ilvl w:val="0"/>
          <w:numId w:val="1"/>
        </w:numPr>
        <w:tabs>
          <w:tab w:val="left" w:pos="259"/>
        </w:tabs>
        <w:ind w:left="258" w:hanging="152"/>
        <w:rPr>
          <w:sz w:val="24"/>
        </w:rPr>
      </w:pPr>
      <w:r>
        <w:rPr>
          <w:sz w:val="24"/>
        </w:rPr>
        <w:t>ensure that data is</w:t>
      </w:r>
      <w:r>
        <w:rPr>
          <w:spacing w:val="-6"/>
          <w:sz w:val="24"/>
        </w:rPr>
        <w:t xml:space="preserve"> </w:t>
      </w:r>
      <w:r>
        <w:rPr>
          <w:sz w:val="24"/>
        </w:rPr>
        <w:t>secure</w:t>
      </w:r>
    </w:p>
    <w:p w14:paraId="5A991E3D" w14:textId="77777777" w:rsidR="007D5402" w:rsidRDefault="00D96B1B">
      <w:pPr>
        <w:pStyle w:val="ListParagraph"/>
        <w:numPr>
          <w:ilvl w:val="0"/>
          <w:numId w:val="1"/>
        </w:numPr>
        <w:tabs>
          <w:tab w:val="left" w:pos="259"/>
        </w:tabs>
        <w:ind w:right="2031" w:firstLine="0"/>
        <w:rPr>
          <w:sz w:val="24"/>
        </w:rPr>
      </w:pPr>
      <w:r>
        <w:rPr>
          <w:sz w:val="24"/>
        </w:rPr>
        <w:t>ensure that data is not transferred to other countries without adequate protection.</w:t>
      </w:r>
    </w:p>
    <w:p w14:paraId="3F29F3F6" w14:textId="77777777" w:rsidR="007D5402" w:rsidRDefault="007D5402">
      <w:pPr>
        <w:pStyle w:val="BodyText"/>
        <w:ind w:left="0"/>
      </w:pPr>
    </w:p>
    <w:p w14:paraId="4780EA20" w14:textId="77777777" w:rsidR="007D5402" w:rsidRDefault="00D96B1B">
      <w:pPr>
        <w:pStyle w:val="Heading2"/>
      </w:pPr>
      <w:r>
        <w:t>Fair Processing / Privacy Notice:</w:t>
      </w:r>
    </w:p>
    <w:p w14:paraId="37A2AB96" w14:textId="77777777" w:rsidR="007D5402" w:rsidRDefault="00D96B1B">
      <w:pPr>
        <w:pStyle w:val="BodyText"/>
        <w:ind w:right="632"/>
      </w:pPr>
      <w:r>
        <w:t>We shall be transparent about the intended processing of data and communicate these intentions via notification to staff, parents and pupils prior to the processing of individual’s data.</w:t>
      </w:r>
    </w:p>
    <w:p w14:paraId="769D6AC9" w14:textId="77777777" w:rsidR="007D5402" w:rsidRDefault="00D96B1B">
      <w:pPr>
        <w:pStyle w:val="BodyText"/>
        <w:spacing w:before="1"/>
        <w:ind w:right="1218"/>
      </w:pPr>
      <w:r>
        <w:t>Notifications shall be in accordance with ICO guidance and, where relevant, be written in a form understandable by those defined as ‘Children’ under the legislation.</w:t>
      </w:r>
    </w:p>
    <w:p w14:paraId="1016A44C" w14:textId="77777777" w:rsidR="007D5402" w:rsidRDefault="007D5402">
      <w:pPr>
        <w:pStyle w:val="BodyText"/>
        <w:ind w:left="0"/>
      </w:pPr>
    </w:p>
    <w:p w14:paraId="4FA9B413" w14:textId="77777777" w:rsidR="007D5402" w:rsidRDefault="00D96B1B">
      <w:pPr>
        <w:pStyle w:val="BodyText"/>
      </w:pPr>
      <w:hyperlink r:id="rId12">
        <w:r>
          <w:rPr>
            <w:color w:val="0000FF"/>
            <w:u w:val="single" w:color="0000FF"/>
          </w:rPr>
          <w:t>Privacy notices, transparency and control | ICO</w:t>
        </w:r>
      </w:hyperlink>
    </w:p>
    <w:p w14:paraId="3C6E2D25" w14:textId="54917D65" w:rsidR="007D5402" w:rsidRDefault="00D96B1B">
      <w:pPr>
        <w:pStyle w:val="BodyText"/>
        <w:ind w:right="565"/>
      </w:pPr>
      <w:r>
        <w:t xml:space="preserve">There may be circumstances where the </w:t>
      </w:r>
      <w:r w:rsidR="00C93488">
        <w:t>Provision</w:t>
      </w:r>
      <w:r>
        <w:t xml:space="preserve"> is required either by law or in the best interests of our students or staff to pass information onto external authorities, for example local authorities, Ofsted, or the department of health. These authorities are up to date with data protection law and have their own policies relating to the protection of any data that they receive or collect.</w:t>
      </w:r>
    </w:p>
    <w:p w14:paraId="69C6C206" w14:textId="77777777" w:rsidR="007D5402" w:rsidRDefault="007D5402">
      <w:pPr>
        <w:pStyle w:val="BodyText"/>
        <w:ind w:left="0"/>
      </w:pPr>
    </w:p>
    <w:p w14:paraId="090E5B5E" w14:textId="303A6CEE" w:rsidR="007D5402" w:rsidRDefault="00D96B1B">
      <w:pPr>
        <w:pStyle w:val="BodyText"/>
        <w:ind w:right="644"/>
      </w:pPr>
      <w:r>
        <w:t xml:space="preserve">The intention to share data relating to individuals to an organisation outside of our </w:t>
      </w:r>
      <w:r w:rsidR="00C93488">
        <w:t>Provision</w:t>
      </w:r>
      <w:r>
        <w:t xml:space="preserve"> shall be clearly defined within notifications and details of the basis for sharing given. Data will be shared with external parties in circumstances where it is a legal requirement to provide such information.</w:t>
      </w:r>
    </w:p>
    <w:p w14:paraId="06D3C9F1" w14:textId="77777777" w:rsidR="007D5402" w:rsidRDefault="007D5402">
      <w:pPr>
        <w:pStyle w:val="BodyText"/>
        <w:ind w:left="0"/>
      </w:pPr>
    </w:p>
    <w:p w14:paraId="05F6DD26" w14:textId="77777777" w:rsidR="007D5402" w:rsidRDefault="00D96B1B">
      <w:pPr>
        <w:pStyle w:val="BodyText"/>
        <w:ind w:right="338"/>
      </w:pPr>
      <w:r>
        <w:t>Any proposed change to the processing of individual’s data shall first be notified to them.</w:t>
      </w:r>
    </w:p>
    <w:p w14:paraId="6A8EAFED" w14:textId="418C6B6C" w:rsidR="007D5402" w:rsidRDefault="00D96B1B">
      <w:pPr>
        <w:pStyle w:val="BodyText"/>
        <w:spacing w:before="1"/>
      </w:pPr>
      <w:r>
        <w:t xml:space="preserve">Under no circumstances will the </w:t>
      </w:r>
      <w:r w:rsidR="00C93488">
        <w:t>Provision</w:t>
      </w:r>
      <w:r>
        <w:t xml:space="preserve"> disclose information or data:</w:t>
      </w:r>
    </w:p>
    <w:p w14:paraId="7F000EFB" w14:textId="77777777" w:rsidR="007D5402" w:rsidRDefault="00D96B1B">
      <w:pPr>
        <w:pStyle w:val="ListParagraph"/>
        <w:numPr>
          <w:ilvl w:val="1"/>
          <w:numId w:val="1"/>
        </w:numPr>
        <w:tabs>
          <w:tab w:val="left" w:pos="827"/>
          <w:tab w:val="left" w:pos="828"/>
        </w:tabs>
        <w:ind w:right="1370"/>
        <w:rPr>
          <w:sz w:val="24"/>
        </w:rPr>
      </w:pPr>
      <w:r>
        <w:rPr>
          <w:sz w:val="24"/>
        </w:rPr>
        <w:t>that would cause serious harm to the child or anyone else’s physical or mental health or</w:t>
      </w:r>
      <w:r>
        <w:rPr>
          <w:spacing w:val="-1"/>
          <w:sz w:val="24"/>
        </w:rPr>
        <w:t xml:space="preserve"> </w:t>
      </w:r>
      <w:r>
        <w:rPr>
          <w:sz w:val="24"/>
        </w:rPr>
        <w:t>condition</w:t>
      </w:r>
    </w:p>
    <w:p w14:paraId="404BA500" w14:textId="77777777" w:rsidR="007D5402" w:rsidRDefault="00D96B1B">
      <w:pPr>
        <w:pStyle w:val="ListParagraph"/>
        <w:numPr>
          <w:ilvl w:val="1"/>
          <w:numId w:val="1"/>
        </w:numPr>
        <w:tabs>
          <w:tab w:val="left" w:pos="827"/>
          <w:tab w:val="left" w:pos="828"/>
        </w:tabs>
        <w:ind w:right="909"/>
        <w:rPr>
          <w:sz w:val="24"/>
        </w:rPr>
      </w:pPr>
      <w:r>
        <w:rPr>
          <w:sz w:val="24"/>
        </w:rPr>
        <w:t>indicating that the child is or has been subject to child abuse or may be at risk of it, where the disclosure would not be in the best interests of the</w:t>
      </w:r>
      <w:r>
        <w:rPr>
          <w:spacing w:val="-19"/>
          <w:sz w:val="24"/>
        </w:rPr>
        <w:t xml:space="preserve"> </w:t>
      </w:r>
      <w:r>
        <w:rPr>
          <w:sz w:val="24"/>
        </w:rPr>
        <w:t>child</w:t>
      </w:r>
    </w:p>
    <w:p w14:paraId="3105C78B" w14:textId="77777777" w:rsidR="007D5402" w:rsidRDefault="00D96B1B">
      <w:pPr>
        <w:pStyle w:val="ListParagraph"/>
        <w:numPr>
          <w:ilvl w:val="1"/>
          <w:numId w:val="1"/>
        </w:numPr>
        <w:tabs>
          <w:tab w:val="left" w:pos="827"/>
          <w:tab w:val="left" w:pos="828"/>
        </w:tabs>
        <w:spacing w:line="291" w:lineRule="exact"/>
        <w:ind w:hanging="361"/>
        <w:rPr>
          <w:sz w:val="24"/>
        </w:rPr>
      </w:pPr>
      <w:r>
        <w:rPr>
          <w:sz w:val="24"/>
        </w:rPr>
        <w:t>recorded by the pupil in an</w:t>
      </w:r>
      <w:r>
        <w:rPr>
          <w:spacing w:val="-11"/>
          <w:sz w:val="24"/>
        </w:rPr>
        <w:t xml:space="preserve"> </w:t>
      </w:r>
      <w:r>
        <w:rPr>
          <w:sz w:val="24"/>
        </w:rPr>
        <w:t>examination</w:t>
      </w:r>
    </w:p>
    <w:p w14:paraId="45C4F178" w14:textId="3BBAEC5E" w:rsidR="007D5402" w:rsidRDefault="00D96B1B">
      <w:pPr>
        <w:pStyle w:val="ListParagraph"/>
        <w:numPr>
          <w:ilvl w:val="1"/>
          <w:numId w:val="1"/>
        </w:numPr>
        <w:tabs>
          <w:tab w:val="left" w:pos="827"/>
          <w:tab w:val="left" w:pos="828"/>
        </w:tabs>
        <w:ind w:right="167"/>
        <w:rPr>
          <w:sz w:val="24"/>
        </w:rPr>
      </w:pPr>
      <w:r>
        <w:rPr>
          <w:sz w:val="24"/>
        </w:rPr>
        <w:t xml:space="preserve">that would allow another person to be identified or identifies another person as the source, unless the person is an employee of the </w:t>
      </w:r>
      <w:r w:rsidR="00C93488">
        <w:rPr>
          <w:sz w:val="24"/>
        </w:rPr>
        <w:t>Provision</w:t>
      </w:r>
      <w:r>
        <w:rPr>
          <w:sz w:val="24"/>
        </w:rPr>
        <w:t xml:space="preserve"> or a local authority or has given consent, or it is reasonable in the circumstances to disclose the information without consent. The exemption from disclosure does not apply if the information can be edited so that the person’s name or identifying details are</w:t>
      </w:r>
      <w:r>
        <w:rPr>
          <w:spacing w:val="-24"/>
          <w:sz w:val="24"/>
        </w:rPr>
        <w:t xml:space="preserve"> </w:t>
      </w:r>
      <w:r>
        <w:rPr>
          <w:sz w:val="24"/>
        </w:rPr>
        <w:t>removed</w:t>
      </w:r>
    </w:p>
    <w:p w14:paraId="2F70577F" w14:textId="6C7DA5B4" w:rsidR="007D5402" w:rsidRDefault="00D96B1B">
      <w:pPr>
        <w:pStyle w:val="ListParagraph"/>
        <w:numPr>
          <w:ilvl w:val="1"/>
          <w:numId w:val="1"/>
        </w:numPr>
        <w:tabs>
          <w:tab w:val="left" w:pos="827"/>
          <w:tab w:val="left" w:pos="828"/>
        </w:tabs>
        <w:ind w:right="1399"/>
        <w:rPr>
          <w:sz w:val="24"/>
        </w:rPr>
      </w:pPr>
      <w:r>
        <w:rPr>
          <w:sz w:val="24"/>
        </w:rPr>
        <w:t xml:space="preserve">in the form of a reference given to another </w:t>
      </w:r>
      <w:r w:rsidR="00C93488">
        <w:rPr>
          <w:sz w:val="24"/>
        </w:rPr>
        <w:t>Provision</w:t>
      </w:r>
      <w:r>
        <w:rPr>
          <w:sz w:val="24"/>
        </w:rPr>
        <w:t xml:space="preserve"> or any other place</w:t>
      </w:r>
      <w:r>
        <w:rPr>
          <w:spacing w:val="-29"/>
          <w:sz w:val="24"/>
        </w:rPr>
        <w:t xml:space="preserve"> </w:t>
      </w:r>
      <w:r>
        <w:rPr>
          <w:sz w:val="24"/>
        </w:rPr>
        <w:t>of education and training, the child’s potential employer, or any national body concerned with student</w:t>
      </w:r>
      <w:r>
        <w:rPr>
          <w:spacing w:val="-6"/>
          <w:sz w:val="24"/>
        </w:rPr>
        <w:t xml:space="preserve"> </w:t>
      </w:r>
      <w:r>
        <w:rPr>
          <w:sz w:val="24"/>
        </w:rPr>
        <w:t>admissions.</w:t>
      </w:r>
    </w:p>
    <w:p w14:paraId="03D960E2" w14:textId="77777777" w:rsidR="007D5402" w:rsidRDefault="007D5402">
      <w:pPr>
        <w:pStyle w:val="BodyText"/>
        <w:spacing w:before="6"/>
        <w:ind w:left="0"/>
        <w:rPr>
          <w:sz w:val="23"/>
        </w:rPr>
      </w:pPr>
    </w:p>
    <w:p w14:paraId="57DA02BB" w14:textId="77777777" w:rsidR="00C93488" w:rsidRDefault="00C93488">
      <w:pPr>
        <w:pStyle w:val="Heading2"/>
      </w:pPr>
    </w:p>
    <w:p w14:paraId="798EA6E3" w14:textId="77777777" w:rsidR="00C93488" w:rsidRDefault="00C93488">
      <w:pPr>
        <w:pStyle w:val="Heading2"/>
      </w:pPr>
    </w:p>
    <w:p w14:paraId="0F89D115" w14:textId="77777777" w:rsidR="00C93488" w:rsidRDefault="00C93488">
      <w:pPr>
        <w:pStyle w:val="Heading2"/>
      </w:pPr>
    </w:p>
    <w:p w14:paraId="2A545973" w14:textId="77777777" w:rsidR="00C93488" w:rsidRDefault="00C93488">
      <w:pPr>
        <w:pStyle w:val="Heading2"/>
      </w:pPr>
    </w:p>
    <w:p w14:paraId="456664FD" w14:textId="3526BE03" w:rsidR="007D5402" w:rsidRDefault="00D96B1B">
      <w:pPr>
        <w:pStyle w:val="Heading2"/>
      </w:pPr>
      <w:r>
        <w:lastRenderedPageBreak/>
        <w:t>Data Security:</w:t>
      </w:r>
    </w:p>
    <w:p w14:paraId="043D222B" w14:textId="77777777" w:rsidR="007D5402" w:rsidRDefault="00D96B1B">
      <w:pPr>
        <w:pStyle w:val="BodyText"/>
        <w:ind w:right="644"/>
      </w:pPr>
      <w:r>
        <w:t>In order to assure the protection of all data being processed and inform decisions on processing activities, we shall undertake an assessment of the associated risks of proposed processing and equally the impact on an individual’s privacy in holding data related to them.</w:t>
      </w:r>
    </w:p>
    <w:p w14:paraId="1CD0716E" w14:textId="77777777" w:rsidR="007D5402" w:rsidRDefault="00D96B1B">
      <w:pPr>
        <w:pStyle w:val="BodyText"/>
        <w:spacing w:before="67"/>
        <w:ind w:right="1031"/>
      </w:pPr>
      <w:r>
        <w:t>Risk and impact assessments shall be conducted in accordance with guidance given by the ICO:</w:t>
      </w:r>
    </w:p>
    <w:p w14:paraId="039C3E8A" w14:textId="77777777" w:rsidR="007D5402" w:rsidRDefault="00D96B1B">
      <w:pPr>
        <w:pStyle w:val="BodyText"/>
        <w:spacing w:before="1"/>
      </w:pPr>
      <w:hyperlink r:id="rId13">
        <w:r>
          <w:rPr>
            <w:color w:val="0000FF"/>
            <w:u w:val="single" w:color="0000FF"/>
          </w:rPr>
          <w:t>Information security (Principle 7) | ICO</w:t>
        </w:r>
      </w:hyperlink>
    </w:p>
    <w:p w14:paraId="1C17E2BE" w14:textId="77777777" w:rsidR="007D5402" w:rsidRDefault="007D5402">
      <w:pPr>
        <w:pStyle w:val="BodyText"/>
        <w:ind w:left="0"/>
        <w:rPr>
          <w:sz w:val="20"/>
        </w:rPr>
      </w:pPr>
    </w:p>
    <w:p w14:paraId="5B6245C0" w14:textId="77777777" w:rsidR="007D5402" w:rsidRDefault="007D5402">
      <w:pPr>
        <w:pStyle w:val="BodyText"/>
        <w:ind w:left="0"/>
        <w:rPr>
          <w:sz w:val="20"/>
        </w:rPr>
      </w:pPr>
    </w:p>
    <w:p w14:paraId="641AAF77" w14:textId="77777777" w:rsidR="007D5402" w:rsidRDefault="00D96B1B">
      <w:pPr>
        <w:pStyle w:val="BodyText"/>
        <w:spacing w:before="92"/>
        <w:ind w:right="1271"/>
      </w:pPr>
      <w:r>
        <w:t>Security of data shall be achieved through the implementation of proportionate physical and technical measures. Nominated staff shall be responsible for the effectiveness of the controls implemented and reporting of their performance.</w:t>
      </w:r>
    </w:p>
    <w:p w14:paraId="6ECA4477" w14:textId="77777777" w:rsidR="007D5402" w:rsidRDefault="00D96B1B">
      <w:pPr>
        <w:pStyle w:val="BodyText"/>
        <w:ind w:right="683"/>
      </w:pPr>
      <w:r>
        <w:t>The security arrangements of any organisation with which data is shared shall also be considered and where required these organisations shall provide evidence of the competence in the security of shared data.</w:t>
      </w:r>
    </w:p>
    <w:p w14:paraId="60B17A12" w14:textId="77777777" w:rsidR="007D5402" w:rsidRDefault="007D5402">
      <w:pPr>
        <w:pStyle w:val="BodyText"/>
        <w:ind w:left="0"/>
      </w:pPr>
    </w:p>
    <w:p w14:paraId="13A4F3A9" w14:textId="77777777" w:rsidR="007D5402" w:rsidRDefault="00D96B1B">
      <w:pPr>
        <w:pStyle w:val="Heading2"/>
      </w:pPr>
      <w:r>
        <w:t>Data Access Requests (Subject Access Requests):</w:t>
      </w:r>
    </w:p>
    <w:p w14:paraId="3A245C2F" w14:textId="77777777" w:rsidR="007D5402" w:rsidRDefault="00D96B1B">
      <w:pPr>
        <w:pStyle w:val="BodyText"/>
        <w:ind w:right="617"/>
      </w:pPr>
      <w:r>
        <w:t>All individuals whose data is held by us, has a legal right to request access to such data or information about what is held. We shall respond to such requests within one month and they should be made in writing to:</w:t>
      </w:r>
    </w:p>
    <w:p w14:paraId="1FF13CFC" w14:textId="77777777" w:rsidR="007D5402" w:rsidRDefault="007D5402">
      <w:pPr>
        <w:pStyle w:val="BodyText"/>
        <w:spacing w:before="1"/>
        <w:ind w:left="0"/>
      </w:pPr>
    </w:p>
    <w:p w14:paraId="04BD5516" w14:textId="4DC428CC" w:rsidR="007D5402" w:rsidRDefault="00D96B1B">
      <w:pPr>
        <w:pStyle w:val="BodyText"/>
        <w:ind w:right="7342"/>
      </w:pPr>
      <w:r>
        <w:t>M</w:t>
      </w:r>
      <w:r w:rsidR="008430F6">
        <w:t>s Lois</w:t>
      </w:r>
      <w:r w:rsidR="002735FA">
        <w:t xml:space="preserve"> Hill Director</w:t>
      </w:r>
    </w:p>
    <w:p w14:paraId="38AD4A3C" w14:textId="78A2E8EC" w:rsidR="007D5402" w:rsidRDefault="002735FA" w:rsidP="002735FA">
      <w:pPr>
        <w:pStyle w:val="BodyText"/>
        <w:ind w:right="4153"/>
      </w:pPr>
      <w:r>
        <w:t xml:space="preserve">Wells </w:t>
      </w:r>
      <w:r w:rsidR="008430F6">
        <w:t>AP Kinsely</w:t>
      </w:r>
      <w:r w:rsidR="00D96B1B">
        <w:t xml:space="preserve">  </w:t>
      </w:r>
    </w:p>
    <w:p w14:paraId="236F76FF" w14:textId="2FF13A88" w:rsidR="002735FA" w:rsidRDefault="008430F6" w:rsidP="002735FA">
      <w:pPr>
        <w:pStyle w:val="BodyText"/>
        <w:ind w:right="4153"/>
      </w:pPr>
      <w:r>
        <w:t>The Church of the Resurrection</w:t>
      </w:r>
    </w:p>
    <w:p w14:paraId="7497CA39" w14:textId="2094D22A" w:rsidR="002735FA" w:rsidRDefault="008430F6" w:rsidP="002735FA">
      <w:pPr>
        <w:pStyle w:val="BodyText"/>
        <w:ind w:right="4153"/>
      </w:pPr>
      <w:r>
        <w:t>Wakefield Road</w:t>
      </w:r>
    </w:p>
    <w:p w14:paraId="3039047D" w14:textId="084F59F9" w:rsidR="002735FA" w:rsidRDefault="002735FA" w:rsidP="008430F6">
      <w:pPr>
        <w:pStyle w:val="BodyText"/>
        <w:ind w:right="4153"/>
      </w:pPr>
      <w:r>
        <w:t>West Yorkshir</w:t>
      </w:r>
      <w:r w:rsidR="008430F6">
        <w:t>e</w:t>
      </w:r>
    </w:p>
    <w:p w14:paraId="684E9755" w14:textId="7ED897B4" w:rsidR="008430F6" w:rsidRDefault="008430F6" w:rsidP="008430F6">
      <w:pPr>
        <w:pStyle w:val="BodyText"/>
        <w:ind w:right="4153"/>
      </w:pPr>
      <w:r>
        <w:t>WF9 5BP</w:t>
      </w:r>
    </w:p>
    <w:p w14:paraId="6B05BBBB" w14:textId="77777777" w:rsidR="007D5402" w:rsidRDefault="007D5402">
      <w:pPr>
        <w:pStyle w:val="BodyText"/>
        <w:ind w:left="0"/>
      </w:pPr>
    </w:p>
    <w:p w14:paraId="55FFF044" w14:textId="77777777" w:rsidR="007D5402" w:rsidRDefault="00D96B1B">
      <w:pPr>
        <w:pStyle w:val="BodyText"/>
        <w:jc w:val="both"/>
      </w:pPr>
      <w:r>
        <w:t>No charge will be applied to process the request.</w:t>
      </w:r>
    </w:p>
    <w:p w14:paraId="56B139F1" w14:textId="77777777" w:rsidR="007D5402" w:rsidRDefault="007D5402">
      <w:pPr>
        <w:pStyle w:val="BodyText"/>
        <w:ind w:left="0"/>
      </w:pPr>
    </w:p>
    <w:p w14:paraId="6808B933" w14:textId="77777777" w:rsidR="007D5402" w:rsidRDefault="00D96B1B">
      <w:pPr>
        <w:pStyle w:val="BodyText"/>
        <w:ind w:right="809"/>
        <w:jc w:val="both"/>
      </w:pPr>
      <w:r>
        <w:t>Personal data about pupils will not be disclosed to third parties without the consent of the child’s parent or carer, unless it is obliged by law or in the best interest of the child. Data may be disclosed to the following third parties without consent:</w:t>
      </w:r>
    </w:p>
    <w:p w14:paraId="31B5D3E3" w14:textId="056CEA51" w:rsidR="007D5402" w:rsidRDefault="00D96B1B">
      <w:pPr>
        <w:pStyle w:val="Heading2"/>
        <w:numPr>
          <w:ilvl w:val="0"/>
          <w:numId w:val="1"/>
        </w:numPr>
        <w:tabs>
          <w:tab w:val="left" w:pos="259"/>
        </w:tabs>
        <w:ind w:left="258" w:hanging="152"/>
        <w:jc w:val="both"/>
      </w:pPr>
      <w:r>
        <w:t>Other</w:t>
      </w:r>
      <w:r>
        <w:rPr>
          <w:spacing w:val="-1"/>
        </w:rPr>
        <w:t xml:space="preserve"> </w:t>
      </w:r>
      <w:r w:rsidR="00C93488">
        <w:t>Provision</w:t>
      </w:r>
      <w:r>
        <w:t>s</w:t>
      </w:r>
    </w:p>
    <w:p w14:paraId="278E76B2" w14:textId="0ACD7ED8" w:rsidR="007D5402" w:rsidRDefault="00D96B1B">
      <w:pPr>
        <w:pStyle w:val="BodyText"/>
        <w:ind w:right="485"/>
      </w:pPr>
      <w:r>
        <w:t xml:space="preserve">If a pupil transfers from </w:t>
      </w:r>
      <w:r w:rsidR="008430F6">
        <w:t>Wells AP Kinsley</w:t>
      </w:r>
      <w:r>
        <w:t xml:space="preserve"> to another </w:t>
      </w:r>
      <w:r w:rsidR="00C93488">
        <w:t>Provision</w:t>
      </w:r>
      <w:r>
        <w:t xml:space="preserve">, their academic records and other data that relates to their health and welfare will be forwarded onto the new </w:t>
      </w:r>
      <w:r w:rsidR="00C93488">
        <w:t>Provision</w:t>
      </w:r>
      <w:r>
        <w:t>. This will support a smooth transition</w:t>
      </w:r>
    </w:p>
    <w:p w14:paraId="1F6C4C3B" w14:textId="00EEE9C0" w:rsidR="007D5402" w:rsidRDefault="00D96B1B">
      <w:pPr>
        <w:pStyle w:val="BodyText"/>
        <w:spacing w:before="1"/>
        <w:ind w:right="1605"/>
      </w:pPr>
      <w:r>
        <w:t xml:space="preserve">from one </w:t>
      </w:r>
      <w:r w:rsidR="00C93488">
        <w:t>Provision</w:t>
      </w:r>
      <w:r>
        <w:t xml:space="preserve"> to the next and ensure that the child is provided for as is necessary. It will aid continuation which should ensure that there is minimal impact on the child’s academic progress as a result of the move.</w:t>
      </w:r>
    </w:p>
    <w:p w14:paraId="18B52470" w14:textId="77777777" w:rsidR="007D5402" w:rsidRDefault="00D96B1B">
      <w:pPr>
        <w:pStyle w:val="Heading2"/>
        <w:numPr>
          <w:ilvl w:val="0"/>
          <w:numId w:val="1"/>
        </w:numPr>
        <w:tabs>
          <w:tab w:val="left" w:pos="259"/>
        </w:tabs>
        <w:ind w:left="258" w:hanging="152"/>
      </w:pPr>
      <w:r>
        <w:t>Examination</w:t>
      </w:r>
      <w:r>
        <w:rPr>
          <w:spacing w:val="-1"/>
        </w:rPr>
        <w:t xml:space="preserve"> </w:t>
      </w:r>
      <w:r>
        <w:t>authorities</w:t>
      </w:r>
    </w:p>
    <w:p w14:paraId="7843AE95" w14:textId="1703D9BF" w:rsidR="007D5402" w:rsidRDefault="00D96B1B">
      <w:pPr>
        <w:pStyle w:val="BodyText"/>
        <w:ind w:right="1565"/>
      </w:pPr>
      <w:r>
        <w:t xml:space="preserve">This may be for registration purposes, to allow the pupils at our </w:t>
      </w:r>
      <w:r w:rsidR="00C93488">
        <w:t>Provision</w:t>
      </w:r>
      <w:r>
        <w:t xml:space="preserve"> to sit examinations set by external exam bodies.</w:t>
      </w:r>
    </w:p>
    <w:p w14:paraId="578D786C" w14:textId="77777777" w:rsidR="007D5402" w:rsidRDefault="00D96B1B">
      <w:pPr>
        <w:pStyle w:val="Heading2"/>
        <w:numPr>
          <w:ilvl w:val="0"/>
          <w:numId w:val="1"/>
        </w:numPr>
        <w:tabs>
          <w:tab w:val="left" w:pos="259"/>
        </w:tabs>
        <w:ind w:left="258" w:hanging="152"/>
      </w:pPr>
      <w:r>
        <w:t>Health</w:t>
      </w:r>
      <w:r>
        <w:rPr>
          <w:spacing w:val="-1"/>
        </w:rPr>
        <w:t xml:space="preserve"> </w:t>
      </w:r>
      <w:r>
        <w:t>authorities</w:t>
      </w:r>
    </w:p>
    <w:p w14:paraId="6951AF75" w14:textId="1FCAC8DF" w:rsidR="007D5402" w:rsidRDefault="00D96B1B">
      <w:pPr>
        <w:pStyle w:val="BodyText"/>
        <w:ind w:right="2018"/>
      </w:pPr>
      <w:r>
        <w:t xml:space="preserve">As obliged under health legislation, the </w:t>
      </w:r>
      <w:r w:rsidR="00C93488">
        <w:t>Provision</w:t>
      </w:r>
      <w:r>
        <w:t xml:space="preserve"> may pass on information regarding the health of children in the </w:t>
      </w:r>
      <w:r w:rsidR="00C93488">
        <w:t>Provision</w:t>
      </w:r>
      <w:r>
        <w:t xml:space="preserve"> to monitor and avoid the spread of contagious diseases in the interest of public health.</w:t>
      </w:r>
    </w:p>
    <w:p w14:paraId="7E01C80C" w14:textId="77777777" w:rsidR="00C93488" w:rsidRDefault="00C93488" w:rsidP="00C93488">
      <w:pPr>
        <w:pStyle w:val="Heading2"/>
        <w:tabs>
          <w:tab w:val="left" w:pos="259"/>
        </w:tabs>
        <w:ind w:left="258"/>
      </w:pPr>
    </w:p>
    <w:p w14:paraId="1136D0D0" w14:textId="77777777" w:rsidR="008430F6" w:rsidRDefault="008430F6" w:rsidP="00C93488">
      <w:pPr>
        <w:pStyle w:val="Heading2"/>
        <w:tabs>
          <w:tab w:val="left" w:pos="259"/>
        </w:tabs>
        <w:ind w:left="258"/>
      </w:pPr>
    </w:p>
    <w:p w14:paraId="291BFF85" w14:textId="77777777" w:rsidR="008430F6" w:rsidRDefault="008430F6" w:rsidP="00C93488">
      <w:pPr>
        <w:pStyle w:val="Heading2"/>
        <w:tabs>
          <w:tab w:val="left" w:pos="259"/>
        </w:tabs>
        <w:ind w:left="258"/>
      </w:pPr>
    </w:p>
    <w:p w14:paraId="18713A4D" w14:textId="77777777" w:rsidR="00C93488" w:rsidRDefault="00C93488" w:rsidP="00C93488">
      <w:pPr>
        <w:pStyle w:val="Heading2"/>
        <w:tabs>
          <w:tab w:val="left" w:pos="259"/>
        </w:tabs>
        <w:ind w:left="258"/>
      </w:pPr>
    </w:p>
    <w:p w14:paraId="7DC50EBD" w14:textId="25646B33" w:rsidR="007D5402" w:rsidRDefault="00D96B1B">
      <w:pPr>
        <w:pStyle w:val="Heading2"/>
        <w:numPr>
          <w:ilvl w:val="0"/>
          <w:numId w:val="1"/>
        </w:numPr>
        <w:tabs>
          <w:tab w:val="left" w:pos="259"/>
        </w:tabs>
        <w:ind w:left="258" w:hanging="152"/>
      </w:pPr>
      <w:r>
        <w:lastRenderedPageBreak/>
        <w:t>Police and</w:t>
      </w:r>
      <w:r>
        <w:rPr>
          <w:spacing w:val="-4"/>
        </w:rPr>
        <w:t xml:space="preserve"> </w:t>
      </w:r>
      <w:r>
        <w:t>courts</w:t>
      </w:r>
    </w:p>
    <w:p w14:paraId="57D89A49" w14:textId="364CDF8B" w:rsidR="009A1CF9" w:rsidRDefault="00D96B1B">
      <w:pPr>
        <w:pStyle w:val="BodyText"/>
        <w:ind w:right="1899"/>
      </w:pPr>
      <w:r>
        <w:t>If a situation arises where a criminal investigation is being carried out we may have to forward information on to the police to aid their investigation. We will pass information onto courts as and when it is ordered.</w:t>
      </w:r>
    </w:p>
    <w:p w14:paraId="4A815FFA" w14:textId="77777777" w:rsidR="007D5402" w:rsidRDefault="00D96B1B">
      <w:pPr>
        <w:pStyle w:val="Heading2"/>
        <w:numPr>
          <w:ilvl w:val="0"/>
          <w:numId w:val="1"/>
        </w:numPr>
        <w:tabs>
          <w:tab w:val="left" w:pos="259"/>
        </w:tabs>
        <w:ind w:left="258" w:hanging="152"/>
      </w:pPr>
      <w:r>
        <w:t>Social workers and support</w:t>
      </w:r>
      <w:r>
        <w:rPr>
          <w:spacing w:val="-7"/>
        </w:rPr>
        <w:t xml:space="preserve"> </w:t>
      </w:r>
      <w:r>
        <w:t>agencies</w:t>
      </w:r>
    </w:p>
    <w:p w14:paraId="604BDAED" w14:textId="77777777" w:rsidR="007D5402" w:rsidRDefault="00D96B1B">
      <w:pPr>
        <w:pStyle w:val="BodyText"/>
        <w:spacing w:before="1"/>
        <w:ind w:right="2072"/>
      </w:pPr>
      <w:r>
        <w:t>In order to protect or maintain the welfare of our pupils, and in cases of child abuse, it may be necessary to pass personal data on to social workers or support agencies.</w:t>
      </w:r>
    </w:p>
    <w:p w14:paraId="6D66A0F5" w14:textId="77777777" w:rsidR="007D5402" w:rsidRDefault="00D96B1B">
      <w:pPr>
        <w:pStyle w:val="Heading2"/>
        <w:numPr>
          <w:ilvl w:val="0"/>
          <w:numId w:val="1"/>
        </w:numPr>
        <w:tabs>
          <w:tab w:val="left" w:pos="259"/>
        </w:tabs>
        <w:spacing w:before="67"/>
        <w:ind w:left="258" w:hanging="152"/>
      </w:pPr>
      <w:r>
        <w:t>Educational</w:t>
      </w:r>
      <w:r>
        <w:rPr>
          <w:spacing w:val="-3"/>
        </w:rPr>
        <w:t xml:space="preserve"> </w:t>
      </w:r>
      <w:r>
        <w:t>division</w:t>
      </w:r>
    </w:p>
    <w:p w14:paraId="1539C992" w14:textId="3BD0E5EE" w:rsidR="007D5402" w:rsidRDefault="00C93488">
      <w:pPr>
        <w:pStyle w:val="BodyText"/>
        <w:ind w:right="1818"/>
      </w:pPr>
      <w:r>
        <w:t>Provision</w:t>
      </w:r>
      <w:r w:rsidR="00D96B1B">
        <w:t>s may be required to pass data on in order to help the government to monitor the national educational system and enforce laws relating to education.</w:t>
      </w:r>
    </w:p>
    <w:p w14:paraId="64F6B589" w14:textId="77777777" w:rsidR="007D5402" w:rsidRDefault="00D96B1B">
      <w:pPr>
        <w:pStyle w:val="Heading2"/>
        <w:numPr>
          <w:ilvl w:val="0"/>
          <w:numId w:val="1"/>
        </w:numPr>
        <w:tabs>
          <w:tab w:val="left" w:pos="259"/>
        </w:tabs>
        <w:spacing w:before="1"/>
        <w:ind w:left="258" w:hanging="152"/>
      </w:pPr>
      <w:r>
        <w:t>Right to be</w:t>
      </w:r>
      <w:r>
        <w:rPr>
          <w:spacing w:val="-3"/>
        </w:rPr>
        <w:t xml:space="preserve"> </w:t>
      </w:r>
      <w:r>
        <w:t>Forgotten:</w:t>
      </w:r>
    </w:p>
    <w:p w14:paraId="679F3E41" w14:textId="39768761" w:rsidR="007D5402" w:rsidRDefault="00D96B1B">
      <w:pPr>
        <w:pStyle w:val="BodyText"/>
        <w:ind w:right="1818"/>
      </w:pPr>
      <w:r>
        <w:t xml:space="preserve">Where any personal data is no longer required for its original purpose, an individual can demand that the processing is stopped and all their personal data is erased by the </w:t>
      </w:r>
      <w:r w:rsidR="00C93488">
        <w:t>Provision</w:t>
      </w:r>
      <w:r>
        <w:t xml:space="preserve"> including any data held by contracted processors.</w:t>
      </w:r>
    </w:p>
    <w:p w14:paraId="63243C9F" w14:textId="77777777" w:rsidR="007D5402" w:rsidRDefault="00D96B1B">
      <w:pPr>
        <w:pStyle w:val="Heading2"/>
      </w:pPr>
      <w:r>
        <w:t>Photographs and Video:</w:t>
      </w:r>
    </w:p>
    <w:p w14:paraId="00368704" w14:textId="5CE2ED46" w:rsidR="007D5402" w:rsidRDefault="00D96B1B">
      <w:pPr>
        <w:pStyle w:val="BodyText"/>
        <w:ind w:right="1271"/>
      </w:pPr>
      <w:r>
        <w:t xml:space="preserve">Images of staff and pupils may be captured at appropriate times and as part of educational activities for use in </w:t>
      </w:r>
      <w:r w:rsidR="00C93488">
        <w:t>Provision</w:t>
      </w:r>
      <w:r>
        <w:t xml:space="preserve"> only.</w:t>
      </w:r>
    </w:p>
    <w:p w14:paraId="46E66378" w14:textId="3513A80E" w:rsidR="007D5402" w:rsidRDefault="00D96B1B">
      <w:pPr>
        <w:pStyle w:val="BodyText"/>
        <w:ind w:right="884"/>
      </w:pPr>
      <w:r>
        <w:t xml:space="preserve">Unless prior consent from parents/pupils/staff has been given, the </w:t>
      </w:r>
      <w:r w:rsidR="00C93488">
        <w:t>Provision</w:t>
      </w:r>
      <w:r>
        <w:t xml:space="preserve"> shall not utilise such images for publication or communication to external sources.</w:t>
      </w:r>
    </w:p>
    <w:p w14:paraId="0F82C339" w14:textId="2FC1BF1B" w:rsidR="007D5402" w:rsidRDefault="00D96B1B">
      <w:pPr>
        <w:pStyle w:val="BodyText"/>
        <w:spacing w:before="1"/>
        <w:ind w:right="1192"/>
      </w:pPr>
      <w:r>
        <w:t xml:space="preserve">It is the </w:t>
      </w:r>
      <w:r w:rsidR="00C93488">
        <w:t>Provision</w:t>
      </w:r>
      <w:r>
        <w:t>’s policy that external parties (including parents) may not capture images of staff or pupils during such activities without prior consent.</w:t>
      </w:r>
    </w:p>
    <w:p w14:paraId="26880E4B" w14:textId="77777777" w:rsidR="007D5402" w:rsidRDefault="007D5402">
      <w:pPr>
        <w:pStyle w:val="BodyText"/>
        <w:ind w:left="0"/>
      </w:pPr>
    </w:p>
    <w:p w14:paraId="4C9909A5" w14:textId="77777777" w:rsidR="007D5402" w:rsidRDefault="00D96B1B">
      <w:pPr>
        <w:pStyle w:val="Heading2"/>
      </w:pPr>
      <w:r>
        <w:t>Location of information and data:</w:t>
      </w:r>
    </w:p>
    <w:p w14:paraId="2613D3D6" w14:textId="77777777" w:rsidR="007D5402" w:rsidRDefault="007D5402">
      <w:pPr>
        <w:pStyle w:val="BodyText"/>
        <w:ind w:left="0"/>
        <w:rPr>
          <w:b/>
        </w:rPr>
      </w:pPr>
    </w:p>
    <w:p w14:paraId="61B28ADD" w14:textId="10DDD14D" w:rsidR="007D5402" w:rsidRDefault="00D96B1B">
      <w:pPr>
        <w:pStyle w:val="BodyText"/>
        <w:ind w:right="671"/>
      </w:pPr>
      <w:r>
        <w:t xml:space="preserve">Hard copy data, records, and personal information are stored out of sight and in a locked cupboard or office. The only exception to this is medical information that may require immediate access during the </w:t>
      </w:r>
      <w:r w:rsidR="00C93488">
        <w:t>Provision</w:t>
      </w:r>
      <w:r>
        <w:t xml:space="preserve"> day. This will be stored with the </w:t>
      </w:r>
      <w:r w:rsidR="00C93488">
        <w:t>Provision</w:t>
      </w:r>
      <w:r>
        <w:t xml:space="preserve"> medical officer.</w:t>
      </w:r>
    </w:p>
    <w:p w14:paraId="19861D20" w14:textId="77777777" w:rsidR="007D5402" w:rsidRDefault="007D5402">
      <w:pPr>
        <w:pStyle w:val="BodyText"/>
        <w:ind w:left="0"/>
      </w:pPr>
    </w:p>
    <w:p w14:paraId="49180A20" w14:textId="5DD6A431" w:rsidR="007D5402" w:rsidRDefault="00D96B1B">
      <w:pPr>
        <w:pStyle w:val="BodyText"/>
        <w:ind w:right="663"/>
      </w:pPr>
      <w:r>
        <w:t xml:space="preserve">Sensitive or personal information and data should not be removed from the </w:t>
      </w:r>
      <w:r w:rsidR="00C93488">
        <w:t>Provision</w:t>
      </w:r>
      <w:r>
        <w:t xml:space="preserve"> site, however the </w:t>
      </w:r>
      <w:r w:rsidR="00C93488">
        <w:t>Provision</w:t>
      </w:r>
      <w:r>
        <w:t xml:space="preserve"> acknowledges that some staff may need to transport data between the </w:t>
      </w:r>
      <w:r w:rsidR="00C93488">
        <w:t>Provision</w:t>
      </w:r>
      <w:r>
        <w:t xml:space="preserve"> and their home in order to access it for work in the evenings and at weekends. This may also apply in cases where staff have offsite meetings, or are on </w:t>
      </w:r>
      <w:r w:rsidR="00C93488">
        <w:t>Provision</w:t>
      </w:r>
      <w:r>
        <w:t xml:space="preserve"> visits with</w:t>
      </w:r>
      <w:r>
        <w:rPr>
          <w:spacing w:val="-2"/>
        </w:rPr>
        <w:t xml:space="preserve"> </w:t>
      </w:r>
      <w:r>
        <w:t>pupils.</w:t>
      </w:r>
    </w:p>
    <w:p w14:paraId="3A493BA0" w14:textId="77777777" w:rsidR="007D5402" w:rsidRDefault="007D5402">
      <w:pPr>
        <w:pStyle w:val="BodyText"/>
        <w:ind w:left="0"/>
      </w:pPr>
    </w:p>
    <w:p w14:paraId="26814656" w14:textId="77777777" w:rsidR="007D5402" w:rsidRDefault="00D96B1B">
      <w:pPr>
        <w:pStyle w:val="BodyText"/>
        <w:ind w:right="632"/>
      </w:pPr>
      <w:r>
        <w:t>The following guidelines are in place for staff in order to reduce the risk of</w:t>
      </w:r>
      <w:r>
        <w:rPr>
          <w:spacing w:val="-25"/>
        </w:rPr>
        <w:t xml:space="preserve"> </w:t>
      </w:r>
      <w:r>
        <w:t>personal data being</w:t>
      </w:r>
      <w:r>
        <w:rPr>
          <w:spacing w:val="-3"/>
        </w:rPr>
        <w:t xml:space="preserve"> </w:t>
      </w:r>
      <w:r>
        <w:t>compromised:</w:t>
      </w:r>
    </w:p>
    <w:p w14:paraId="48742995" w14:textId="5F673176" w:rsidR="007D5402" w:rsidRDefault="00D96B1B">
      <w:pPr>
        <w:pStyle w:val="ListParagraph"/>
        <w:numPr>
          <w:ilvl w:val="0"/>
          <w:numId w:val="1"/>
        </w:numPr>
        <w:tabs>
          <w:tab w:val="left" w:pos="259"/>
        </w:tabs>
        <w:spacing w:before="1"/>
        <w:ind w:right="1830" w:firstLine="0"/>
        <w:rPr>
          <w:sz w:val="24"/>
        </w:rPr>
      </w:pPr>
      <w:r>
        <w:rPr>
          <w:sz w:val="24"/>
        </w:rPr>
        <w:t xml:space="preserve">Paper copies of data or personal information should not be taken off the </w:t>
      </w:r>
      <w:r w:rsidR="00C93488">
        <w:rPr>
          <w:sz w:val="24"/>
        </w:rPr>
        <w:t>Provision</w:t>
      </w:r>
      <w:r>
        <w:rPr>
          <w:sz w:val="24"/>
        </w:rPr>
        <w:t xml:space="preserve"> site. If these are misplaced they are easily accessed. If there is no way to avoid taking a paper copy of data off the </w:t>
      </w:r>
      <w:r w:rsidR="00C93488">
        <w:rPr>
          <w:sz w:val="24"/>
        </w:rPr>
        <w:t>Provision</w:t>
      </w:r>
      <w:r>
        <w:rPr>
          <w:sz w:val="24"/>
        </w:rPr>
        <w:t xml:space="preserve"> site, the information should not be on view in public places, or left unattended under any</w:t>
      </w:r>
      <w:r>
        <w:rPr>
          <w:spacing w:val="-4"/>
          <w:sz w:val="24"/>
        </w:rPr>
        <w:t xml:space="preserve"> </w:t>
      </w:r>
      <w:r>
        <w:rPr>
          <w:sz w:val="24"/>
        </w:rPr>
        <w:t>circumstances.</w:t>
      </w:r>
    </w:p>
    <w:p w14:paraId="2B6C18E4" w14:textId="77777777" w:rsidR="007D5402" w:rsidRDefault="00D96B1B">
      <w:pPr>
        <w:pStyle w:val="ListParagraph"/>
        <w:numPr>
          <w:ilvl w:val="0"/>
          <w:numId w:val="1"/>
        </w:numPr>
        <w:tabs>
          <w:tab w:val="left" w:pos="259"/>
        </w:tabs>
        <w:ind w:right="1686" w:firstLine="0"/>
        <w:rPr>
          <w:sz w:val="24"/>
        </w:rPr>
      </w:pPr>
      <w:r>
        <w:rPr>
          <w:sz w:val="24"/>
        </w:rPr>
        <w:t>Unwanted paper copies of data, sensitive information or pupil files</w:t>
      </w:r>
      <w:r>
        <w:rPr>
          <w:spacing w:val="-33"/>
          <w:sz w:val="24"/>
        </w:rPr>
        <w:t xml:space="preserve"> </w:t>
      </w:r>
      <w:r>
        <w:rPr>
          <w:sz w:val="24"/>
        </w:rPr>
        <w:t>should be shredded. This also applies to handwritten notes if the notes reference any other staff member or pupil by</w:t>
      </w:r>
      <w:r>
        <w:rPr>
          <w:spacing w:val="-9"/>
          <w:sz w:val="24"/>
        </w:rPr>
        <w:t xml:space="preserve"> </w:t>
      </w:r>
      <w:r>
        <w:rPr>
          <w:sz w:val="24"/>
        </w:rPr>
        <w:t>name.</w:t>
      </w:r>
    </w:p>
    <w:p w14:paraId="6D039B8C" w14:textId="3E28A1C0" w:rsidR="007D5402" w:rsidRDefault="00D96B1B">
      <w:pPr>
        <w:pStyle w:val="ListParagraph"/>
        <w:numPr>
          <w:ilvl w:val="0"/>
          <w:numId w:val="1"/>
        </w:numPr>
        <w:tabs>
          <w:tab w:val="left" w:pos="259"/>
        </w:tabs>
        <w:ind w:right="1847" w:firstLine="0"/>
        <w:rPr>
          <w:sz w:val="24"/>
        </w:rPr>
      </w:pPr>
      <w:r>
        <w:rPr>
          <w:sz w:val="24"/>
        </w:rPr>
        <w:t>Care must be taken to ensure that printouts of any personal or</w:t>
      </w:r>
      <w:r>
        <w:rPr>
          <w:spacing w:val="-30"/>
          <w:sz w:val="24"/>
        </w:rPr>
        <w:t xml:space="preserve"> </w:t>
      </w:r>
      <w:r>
        <w:rPr>
          <w:sz w:val="24"/>
        </w:rPr>
        <w:t>sensitive information are not left in printer trays or</w:t>
      </w:r>
      <w:r>
        <w:rPr>
          <w:spacing w:val="-6"/>
          <w:sz w:val="24"/>
        </w:rPr>
        <w:t xml:space="preserve"> </w:t>
      </w:r>
      <w:r>
        <w:rPr>
          <w:sz w:val="24"/>
        </w:rPr>
        <w:t>photocopiers.</w:t>
      </w:r>
    </w:p>
    <w:p w14:paraId="37D21CD1" w14:textId="7643C374" w:rsidR="00C93488" w:rsidRDefault="00C93488" w:rsidP="00C93488">
      <w:pPr>
        <w:tabs>
          <w:tab w:val="left" w:pos="259"/>
        </w:tabs>
        <w:ind w:right="1847"/>
        <w:rPr>
          <w:sz w:val="24"/>
        </w:rPr>
      </w:pPr>
    </w:p>
    <w:p w14:paraId="20AE2590" w14:textId="77777777" w:rsidR="00C93488" w:rsidRPr="00C93488" w:rsidRDefault="00C93488" w:rsidP="00C93488">
      <w:pPr>
        <w:tabs>
          <w:tab w:val="left" w:pos="259"/>
        </w:tabs>
        <w:ind w:right="1847"/>
        <w:rPr>
          <w:sz w:val="24"/>
        </w:rPr>
      </w:pPr>
    </w:p>
    <w:p w14:paraId="4ECC168F" w14:textId="23A109DB" w:rsidR="009A1CF9" w:rsidRPr="00C93488" w:rsidRDefault="00D96B1B" w:rsidP="009A1CF9">
      <w:pPr>
        <w:pStyle w:val="ListParagraph"/>
        <w:numPr>
          <w:ilvl w:val="0"/>
          <w:numId w:val="1"/>
        </w:numPr>
        <w:tabs>
          <w:tab w:val="left" w:pos="259"/>
        </w:tabs>
        <w:ind w:right="1710" w:firstLine="0"/>
        <w:rPr>
          <w:sz w:val="24"/>
        </w:rPr>
      </w:pPr>
      <w:r w:rsidRPr="00C93488">
        <w:rPr>
          <w:sz w:val="24"/>
        </w:rPr>
        <w:lastRenderedPageBreak/>
        <w:t>If information is being viewed on a PC, staff must ensure that the window and documents are properly shut down before leaving the computer unattended. Sensitive information should not be viewed on public computers.</w:t>
      </w:r>
    </w:p>
    <w:p w14:paraId="65101A76" w14:textId="77777777" w:rsidR="007D5402" w:rsidRDefault="00D96B1B">
      <w:pPr>
        <w:pStyle w:val="ListParagraph"/>
        <w:numPr>
          <w:ilvl w:val="0"/>
          <w:numId w:val="1"/>
        </w:numPr>
        <w:tabs>
          <w:tab w:val="left" w:pos="259"/>
        </w:tabs>
        <w:ind w:left="258" w:hanging="152"/>
        <w:rPr>
          <w:sz w:val="24"/>
        </w:rPr>
      </w:pPr>
      <w:r>
        <w:rPr>
          <w:sz w:val="24"/>
        </w:rPr>
        <w:t>Laptops and USB sticks that staff use must be password</w:t>
      </w:r>
      <w:r>
        <w:rPr>
          <w:spacing w:val="-10"/>
          <w:sz w:val="24"/>
        </w:rPr>
        <w:t xml:space="preserve"> </w:t>
      </w:r>
      <w:r>
        <w:rPr>
          <w:sz w:val="24"/>
        </w:rPr>
        <w:t>protected.</w:t>
      </w:r>
    </w:p>
    <w:p w14:paraId="35D40951" w14:textId="27E90128" w:rsidR="007D5402" w:rsidRDefault="00D96B1B">
      <w:pPr>
        <w:pStyle w:val="BodyText"/>
        <w:ind w:right="578"/>
      </w:pPr>
      <w:r>
        <w:t xml:space="preserve">These guidelines are clearly communicated to all </w:t>
      </w:r>
      <w:r w:rsidR="00C93488">
        <w:t>Provision</w:t>
      </w:r>
      <w:r>
        <w:t xml:space="preserve"> staff, and any person who is found to be intentionally breaching this conduct will be disciplined in line with the seriousness of their misconduct.</w:t>
      </w:r>
    </w:p>
    <w:p w14:paraId="2F09AEAB" w14:textId="77777777" w:rsidR="007D5402" w:rsidRDefault="00D96B1B">
      <w:pPr>
        <w:pStyle w:val="Heading2"/>
        <w:spacing w:before="67"/>
      </w:pPr>
      <w:r>
        <w:t>Data Disposal:</w:t>
      </w:r>
    </w:p>
    <w:p w14:paraId="217EA0AD" w14:textId="524BAD63" w:rsidR="007D5402" w:rsidRDefault="00D96B1B">
      <w:pPr>
        <w:pStyle w:val="BodyText"/>
        <w:ind w:right="1204"/>
      </w:pPr>
      <w:r>
        <w:t xml:space="preserve">The </w:t>
      </w:r>
      <w:r w:rsidR="00C93488">
        <w:t>Provision</w:t>
      </w:r>
      <w:r>
        <w:t xml:space="preserve"> recognises that the secure disposal of redundant data is an integral element to compliance with legal requirements and an area of increased risk.</w:t>
      </w:r>
    </w:p>
    <w:p w14:paraId="11E6DC6D" w14:textId="77777777" w:rsidR="007D5402" w:rsidRDefault="00D96B1B">
      <w:pPr>
        <w:pStyle w:val="BodyText"/>
        <w:spacing w:before="1"/>
        <w:ind w:right="911"/>
      </w:pPr>
      <w:r>
        <w:t>All data held in any form of media (paper, tape, electronic) shall only be passed to a disposal partner with demonstrable competence in providing secure disposal services.</w:t>
      </w:r>
    </w:p>
    <w:p w14:paraId="60A2F153" w14:textId="77777777" w:rsidR="007D5402" w:rsidRDefault="00D96B1B">
      <w:pPr>
        <w:pStyle w:val="BodyText"/>
        <w:ind w:right="1378"/>
      </w:pPr>
      <w:r>
        <w:t>All data shall be destroyed or eradicated to agreed levels meeting recognised national standards, with confirmation at completion of the disposal process.</w:t>
      </w:r>
    </w:p>
    <w:p w14:paraId="6610F20A" w14:textId="77777777" w:rsidR="007D5402" w:rsidRDefault="00D96B1B">
      <w:pPr>
        <w:pStyle w:val="BodyText"/>
        <w:ind w:right="1477"/>
      </w:pPr>
      <w:r>
        <w:t xml:space="preserve">Disposal of IT assets holding data shall be in compliance with ICO guidance: </w:t>
      </w:r>
      <w:hyperlink r:id="rId14">
        <w:r>
          <w:rPr>
            <w:color w:val="0000FF"/>
            <w:u w:val="single" w:color="0000FF"/>
          </w:rPr>
          <w:t>https://ico.org.uk/media/for-</w:t>
        </w:r>
      </w:hyperlink>
      <w:r>
        <w:rPr>
          <w:color w:val="0000FF"/>
        </w:rPr>
        <w:t xml:space="preserve"> </w:t>
      </w:r>
      <w:hyperlink r:id="rId15">
        <w:r>
          <w:rPr>
            <w:color w:val="0000FF"/>
            <w:u w:val="single" w:color="0000FF"/>
          </w:rPr>
          <w:t>organisations/documents/1570/it_asset_disposal_for_organisations.pdf</w:t>
        </w:r>
      </w:hyperlink>
    </w:p>
    <w:p w14:paraId="33225142" w14:textId="2320CCED" w:rsidR="007D5402" w:rsidRDefault="00D96B1B">
      <w:pPr>
        <w:pStyle w:val="Heading2"/>
        <w:ind w:right="1288"/>
      </w:pPr>
      <w:r>
        <w:t xml:space="preserve">The </w:t>
      </w:r>
      <w:r w:rsidR="00C93488">
        <w:t>Provision</w:t>
      </w:r>
      <w:r>
        <w:t xml:space="preserve"> has identified a qualified source for disposal of IT assets and collections.</w:t>
      </w:r>
    </w:p>
    <w:p w14:paraId="469432D5" w14:textId="27B36BF5" w:rsidR="007D5402" w:rsidRDefault="00D96B1B">
      <w:pPr>
        <w:spacing w:before="2" w:line="278" w:lineRule="auto"/>
        <w:ind w:left="107" w:right="727"/>
        <w:rPr>
          <w:b/>
          <w:sz w:val="24"/>
        </w:rPr>
      </w:pPr>
      <w:r>
        <w:rPr>
          <w:b/>
          <w:sz w:val="24"/>
        </w:rPr>
        <w:t xml:space="preserve">The </w:t>
      </w:r>
      <w:r w:rsidR="00C93488">
        <w:rPr>
          <w:b/>
          <w:sz w:val="24"/>
        </w:rPr>
        <w:t>Provision</w:t>
      </w:r>
      <w:r>
        <w:rPr>
          <w:b/>
          <w:sz w:val="24"/>
        </w:rPr>
        <w:t xml:space="preserve"> also uses Printwaste to dispose of sensitive data that is no longer required.</w:t>
      </w:r>
    </w:p>
    <w:sectPr w:rsidR="007D5402">
      <w:pgSz w:w="11910" w:h="17340"/>
      <w:pgMar w:top="1080" w:right="860" w:bottom="1560" w:left="1340" w:header="0" w:footer="13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9015" w14:textId="77777777" w:rsidR="007579AE" w:rsidRDefault="007579AE">
      <w:r>
        <w:separator/>
      </w:r>
    </w:p>
  </w:endnote>
  <w:endnote w:type="continuationSeparator" w:id="0">
    <w:p w14:paraId="7A241665" w14:textId="77777777" w:rsidR="007579AE" w:rsidRDefault="0075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DE58" w14:textId="49EC5E08" w:rsidR="007D5402" w:rsidRDefault="009A1CF9">
    <w:pPr>
      <w:pStyle w:val="BodyText"/>
      <w:spacing w:line="14" w:lineRule="auto"/>
      <w:ind w:left="0"/>
      <w:rPr>
        <w:sz w:val="20"/>
      </w:rPr>
    </w:pPr>
    <w:r>
      <w:rPr>
        <w:noProof/>
      </w:rPr>
      <mc:AlternateContent>
        <mc:Choice Requires="wpg">
          <w:drawing>
            <wp:anchor distT="0" distB="0" distL="114300" distR="114300" simplePos="0" relativeHeight="251460608" behindDoc="1" locked="0" layoutInCell="1" allowOverlap="1" wp14:anchorId="610279BC" wp14:editId="1F4C3726">
              <wp:simplePos x="0" y="0"/>
              <wp:positionH relativeFrom="page">
                <wp:posOffset>901065</wp:posOffset>
              </wp:positionH>
              <wp:positionV relativeFrom="page">
                <wp:posOffset>9960610</wp:posOffset>
              </wp:positionV>
              <wp:extent cx="6135370" cy="5651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5370" cy="56515"/>
                        <a:chOff x="1419" y="15686"/>
                        <a:chExt cx="9662" cy="89"/>
                      </a:xfrm>
                    </wpg:grpSpPr>
                    <wps:wsp>
                      <wps:cNvPr id="4" name="Line 5"/>
                      <wps:cNvCnPr>
                        <a:cxnSpLocks noChangeShapeType="1"/>
                      </wps:cNvCnPr>
                      <wps:spPr bwMode="auto">
                        <a:xfrm>
                          <a:off x="1419" y="15716"/>
                          <a:ext cx="9661"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419" y="15768"/>
                          <a:ext cx="9661"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0A8C85" id="Group 3" o:spid="_x0000_s1026" style="position:absolute;margin-left:70.95pt;margin-top:784.3pt;width:483.1pt;height:4.45pt;z-index:-251855872;mso-position-horizontal-relative:page;mso-position-vertical-relative:page" coordorigin="1419,15686" coordsize="96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">
              <v:line id="Line 5" o:spid="_x0000_s1027" style="position:absolute;visibility:visible;mso-wrap-style:square" from="1419,15716" to="11080,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" strokecolor="#612322" strokeweight="3pt"/>
              <v:line id="Line 4" o:spid="_x0000_s1028" style="position:absolute;visibility:visible;mso-wrap-style:square" from="1419,15768" to="11080,15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" strokecolor="#612322" strokeweight=".72pt"/>
              <w10:wrap anchorx="page" anchory="page"/>
            </v:group>
          </w:pict>
        </mc:Fallback>
      </mc:AlternateContent>
    </w:r>
    <w:r>
      <w:rPr>
        <w:noProof/>
      </w:rPr>
      <mc:AlternateContent>
        <mc:Choice Requires="wps">
          <w:drawing>
            <wp:anchor distT="0" distB="0" distL="114300" distR="114300" simplePos="0" relativeHeight="251461632" behindDoc="1" locked="0" layoutInCell="1" allowOverlap="1" wp14:anchorId="37051CEE" wp14:editId="5EF293FC">
              <wp:simplePos x="0" y="0"/>
              <wp:positionH relativeFrom="page">
                <wp:posOffset>906780</wp:posOffset>
              </wp:positionH>
              <wp:positionV relativeFrom="page">
                <wp:posOffset>10009505</wp:posOffset>
              </wp:positionV>
              <wp:extent cx="3666490" cy="381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49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01F0C" w14:textId="0D2A9A31" w:rsidR="007D5402" w:rsidRDefault="002735FA" w:rsidP="008430F6">
                          <w:pPr>
                            <w:pStyle w:val="BodyText"/>
                            <w:spacing w:before="20" w:line="242" w:lineRule="auto"/>
                            <w:ind w:left="0"/>
                            <w:rPr>
                              <w:rFonts w:ascii="Trebuchet MS"/>
                            </w:rPr>
                          </w:pPr>
                          <w:r>
                            <w:rPr>
                              <w:rFonts w:ascii="Trebuchet MS"/>
                            </w:rPr>
                            <w:t xml:space="preserve">Wells </w:t>
                          </w:r>
                          <w:r w:rsidR="00D96B1B">
                            <w:rPr>
                              <w:rFonts w:ascii="Trebuchet MS"/>
                            </w:rPr>
                            <w:t>AP</w:t>
                          </w:r>
                          <w:r w:rsidR="008430F6">
                            <w:rPr>
                              <w:rFonts w:ascii="Trebuchet MS"/>
                            </w:rPr>
                            <w:t xml:space="preserve"> Kinsley</w:t>
                          </w:r>
                          <w:r w:rsidR="00D96B1B">
                            <w:rPr>
                              <w:rFonts w:ascii="Trebuchet MS"/>
                            </w:rPr>
                            <w:t xml:space="preserve"> </w:t>
                          </w:r>
                          <w:r w:rsidR="00C93488">
                            <w:rPr>
                              <w:rFonts w:ascii="Trebuchet MS"/>
                            </w:rPr>
                            <w:t>Provision</w:t>
                          </w:r>
                          <w:r w:rsidR="00D96B1B">
                            <w:rPr>
                              <w:rFonts w:ascii="Trebuchet MS"/>
                            </w:rPr>
                            <w:t xml:space="preserve"> Data Protection Policy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51CEE" id="_x0000_t202" coordsize="21600,21600" o:spt="202" path="m,l,21600r21600,l21600,xe">
              <v:stroke joinstyle="miter"/>
              <v:path gradientshapeok="t" o:connecttype="rect"/>
            </v:shapetype>
            <v:shape id="Text Box 2" o:spid="_x0000_s1026" type="#_x0000_t202" style="position:absolute;margin-left:71.4pt;margin-top:788.15pt;width:288.7pt;height:30pt;z-index:-25185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" filled="f" stroked="f">
              <v:textbox inset="0,0,0,0">
                <w:txbxContent>
                  <w:p w14:paraId="0A501F0C" w14:textId="0D2A9A31" w:rsidR="007D5402" w:rsidRDefault="002735FA" w:rsidP="008430F6">
                    <w:pPr>
                      <w:pStyle w:val="BodyText"/>
                      <w:spacing w:before="20" w:line="242" w:lineRule="auto"/>
                      <w:ind w:left="0"/>
                      <w:rPr>
                        <w:rFonts w:ascii="Trebuchet MS"/>
                      </w:rPr>
                    </w:pPr>
                    <w:r>
                      <w:rPr>
                        <w:rFonts w:ascii="Trebuchet MS"/>
                      </w:rPr>
                      <w:t xml:space="preserve">Wells </w:t>
                    </w:r>
                    <w:r w:rsidR="00D96B1B">
                      <w:rPr>
                        <w:rFonts w:ascii="Trebuchet MS"/>
                      </w:rPr>
                      <w:t>AP</w:t>
                    </w:r>
                    <w:r w:rsidR="008430F6">
                      <w:rPr>
                        <w:rFonts w:ascii="Trebuchet MS"/>
                      </w:rPr>
                      <w:t xml:space="preserve"> Kinsley</w:t>
                    </w:r>
                    <w:r w:rsidR="00D96B1B">
                      <w:rPr>
                        <w:rFonts w:ascii="Trebuchet MS"/>
                      </w:rPr>
                      <w:t xml:space="preserve"> </w:t>
                    </w:r>
                    <w:r w:rsidR="00C93488">
                      <w:rPr>
                        <w:rFonts w:ascii="Trebuchet MS"/>
                      </w:rPr>
                      <w:t>Provision</w:t>
                    </w:r>
                    <w:r w:rsidR="00D96B1B">
                      <w:rPr>
                        <w:rFonts w:ascii="Trebuchet MS"/>
                      </w:rPr>
                      <w:t xml:space="preserve"> Data Protection Policy </w:t>
                    </w:r>
                  </w:p>
                </w:txbxContent>
              </v:textbox>
              <w10:wrap anchorx="page" anchory="page"/>
            </v:shape>
          </w:pict>
        </mc:Fallback>
      </mc:AlternateContent>
    </w:r>
    <w:r>
      <w:rPr>
        <w:noProof/>
      </w:rPr>
      <mc:AlternateContent>
        <mc:Choice Requires="wps">
          <w:drawing>
            <wp:anchor distT="0" distB="0" distL="114300" distR="114300" simplePos="0" relativeHeight="251462656" behindDoc="1" locked="0" layoutInCell="1" allowOverlap="1" wp14:anchorId="5A33A50F" wp14:editId="50795527">
              <wp:simplePos x="0" y="0"/>
              <wp:positionH relativeFrom="page">
                <wp:posOffset>6611620</wp:posOffset>
              </wp:positionH>
              <wp:positionV relativeFrom="page">
                <wp:posOffset>10197465</wp:posOffset>
              </wp:positionV>
              <wp:extent cx="444500" cy="189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BD6B0" w14:textId="77777777" w:rsidR="007D5402" w:rsidRDefault="00D96B1B">
                          <w:pPr>
                            <w:spacing w:before="20"/>
                            <w:ind w:left="20"/>
                            <w:rPr>
                              <w:rFonts w:ascii="Cambria"/>
                            </w:rPr>
                          </w:pPr>
                          <w:r>
                            <w:rPr>
                              <w:rFonts w:ascii="Cambria"/>
                            </w:rPr>
                            <w:t xml:space="preserve">Page </w:t>
                          </w:r>
                          <w:r>
                            <w:fldChar w:fldCharType="begin"/>
                          </w:r>
                          <w:r>
                            <w:rPr>
                              <w:rFonts w:ascii="Cambria"/>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3A50F" id="Text Box 1" o:spid="_x0000_s1027" type="#_x0000_t202" style="position:absolute;margin-left:520.6pt;margin-top:802.95pt;width:35pt;height:14.95pt;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" filled="f" stroked="f">
              <v:textbox inset="0,0,0,0">
                <w:txbxContent>
                  <w:p w14:paraId="77ABD6B0" w14:textId="77777777" w:rsidR="007D5402" w:rsidRDefault="00D96B1B">
                    <w:pPr>
                      <w:spacing w:before="20"/>
                      <w:ind w:left="20"/>
                      <w:rPr>
                        <w:rFonts w:ascii="Cambria"/>
                      </w:rPr>
                    </w:pPr>
                    <w:r>
                      <w:rPr>
                        <w:rFonts w:ascii="Cambria"/>
                      </w:rPr>
                      <w:t xml:space="preserve">Page </w:t>
                    </w:r>
                    <w:r>
                      <w:fldChar w:fldCharType="begin"/>
                    </w:r>
                    <w:r>
                      <w:rPr>
                        <w:rFonts w:ascii="Cambria"/>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CD0F" w14:textId="77777777" w:rsidR="007579AE" w:rsidRDefault="007579AE">
      <w:r>
        <w:separator/>
      </w:r>
    </w:p>
  </w:footnote>
  <w:footnote w:type="continuationSeparator" w:id="0">
    <w:p w14:paraId="2972010A" w14:textId="77777777" w:rsidR="007579AE" w:rsidRDefault="00757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621E9"/>
    <w:multiLevelType w:val="hybridMultilevel"/>
    <w:tmpl w:val="365603E2"/>
    <w:lvl w:ilvl="0" w:tplc="5D7AA016">
      <w:numFmt w:val="bullet"/>
      <w:lvlText w:val="•"/>
      <w:lvlJc w:val="left"/>
      <w:pPr>
        <w:ind w:left="107" w:hanging="151"/>
      </w:pPr>
      <w:rPr>
        <w:rFonts w:ascii="Arial" w:eastAsia="Arial" w:hAnsi="Arial" w:cs="Arial" w:hint="default"/>
        <w:spacing w:val="-3"/>
        <w:w w:val="100"/>
        <w:sz w:val="24"/>
        <w:szCs w:val="24"/>
        <w:lang w:val="en-GB" w:eastAsia="en-GB" w:bidi="en-GB"/>
      </w:rPr>
    </w:lvl>
    <w:lvl w:ilvl="1" w:tplc="D8D27EAA">
      <w:numFmt w:val="bullet"/>
      <w:lvlText w:val=""/>
      <w:lvlJc w:val="left"/>
      <w:pPr>
        <w:ind w:left="827" w:hanging="360"/>
      </w:pPr>
      <w:rPr>
        <w:rFonts w:ascii="Symbol" w:eastAsia="Symbol" w:hAnsi="Symbol" w:cs="Symbol" w:hint="default"/>
        <w:w w:val="100"/>
        <w:sz w:val="24"/>
        <w:szCs w:val="24"/>
        <w:lang w:val="en-GB" w:eastAsia="en-GB" w:bidi="en-GB"/>
      </w:rPr>
    </w:lvl>
    <w:lvl w:ilvl="2" w:tplc="D80A8E40">
      <w:numFmt w:val="bullet"/>
      <w:lvlText w:val="•"/>
      <w:lvlJc w:val="left"/>
      <w:pPr>
        <w:ind w:left="1807" w:hanging="360"/>
      </w:pPr>
      <w:rPr>
        <w:rFonts w:hint="default"/>
        <w:lang w:val="en-GB" w:eastAsia="en-GB" w:bidi="en-GB"/>
      </w:rPr>
    </w:lvl>
    <w:lvl w:ilvl="3" w:tplc="A5367CEA">
      <w:numFmt w:val="bullet"/>
      <w:lvlText w:val="•"/>
      <w:lvlJc w:val="left"/>
      <w:pPr>
        <w:ind w:left="2794" w:hanging="360"/>
      </w:pPr>
      <w:rPr>
        <w:rFonts w:hint="default"/>
        <w:lang w:val="en-GB" w:eastAsia="en-GB" w:bidi="en-GB"/>
      </w:rPr>
    </w:lvl>
    <w:lvl w:ilvl="4" w:tplc="7F14ACC0">
      <w:numFmt w:val="bullet"/>
      <w:lvlText w:val="•"/>
      <w:lvlJc w:val="left"/>
      <w:pPr>
        <w:ind w:left="3782" w:hanging="360"/>
      </w:pPr>
      <w:rPr>
        <w:rFonts w:hint="default"/>
        <w:lang w:val="en-GB" w:eastAsia="en-GB" w:bidi="en-GB"/>
      </w:rPr>
    </w:lvl>
    <w:lvl w:ilvl="5" w:tplc="C96491CE">
      <w:numFmt w:val="bullet"/>
      <w:lvlText w:val="•"/>
      <w:lvlJc w:val="left"/>
      <w:pPr>
        <w:ind w:left="4769" w:hanging="360"/>
      </w:pPr>
      <w:rPr>
        <w:rFonts w:hint="default"/>
        <w:lang w:val="en-GB" w:eastAsia="en-GB" w:bidi="en-GB"/>
      </w:rPr>
    </w:lvl>
    <w:lvl w:ilvl="6" w:tplc="2AC89C22">
      <w:numFmt w:val="bullet"/>
      <w:lvlText w:val="•"/>
      <w:lvlJc w:val="left"/>
      <w:pPr>
        <w:ind w:left="5756" w:hanging="360"/>
      </w:pPr>
      <w:rPr>
        <w:rFonts w:hint="default"/>
        <w:lang w:val="en-GB" w:eastAsia="en-GB" w:bidi="en-GB"/>
      </w:rPr>
    </w:lvl>
    <w:lvl w:ilvl="7" w:tplc="6FD23114">
      <w:numFmt w:val="bullet"/>
      <w:lvlText w:val="•"/>
      <w:lvlJc w:val="left"/>
      <w:pPr>
        <w:ind w:left="6744" w:hanging="360"/>
      </w:pPr>
      <w:rPr>
        <w:rFonts w:hint="default"/>
        <w:lang w:val="en-GB" w:eastAsia="en-GB" w:bidi="en-GB"/>
      </w:rPr>
    </w:lvl>
    <w:lvl w:ilvl="8" w:tplc="22020712">
      <w:numFmt w:val="bullet"/>
      <w:lvlText w:val="•"/>
      <w:lvlJc w:val="left"/>
      <w:pPr>
        <w:ind w:left="7731" w:hanging="360"/>
      </w:pPr>
      <w:rPr>
        <w:rFonts w:hint="default"/>
        <w:lang w:val="en-GB" w:eastAsia="en-GB" w:bidi="en-GB"/>
      </w:rPr>
    </w:lvl>
  </w:abstractNum>
  <w:abstractNum w:abstractNumId="1" w15:restartNumberingAfterBreak="0">
    <w:nsid w:val="520B2F27"/>
    <w:multiLevelType w:val="hybridMultilevel"/>
    <w:tmpl w:val="602AAC82"/>
    <w:lvl w:ilvl="0" w:tplc="87E49A14">
      <w:start w:val="1"/>
      <w:numFmt w:val="lowerLetter"/>
      <w:lvlText w:val="(%1)"/>
      <w:lvlJc w:val="left"/>
      <w:pPr>
        <w:ind w:left="107" w:hanging="360"/>
        <w:jc w:val="left"/>
      </w:pPr>
      <w:rPr>
        <w:rFonts w:ascii="Arial" w:eastAsia="Arial" w:hAnsi="Arial" w:cs="Arial" w:hint="default"/>
        <w:b/>
        <w:bCs/>
        <w:w w:val="99"/>
        <w:sz w:val="24"/>
        <w:szCs w:val="24"/>
        <w:lang w:val="en-GB" w:eastAsia="en-GB" w:bidi="en-GB"/>
      </w:rPr>
    </w:lvl>
    <w:lvl w:ilvl="1" w:tplc="8DEE6474">
      <w:numFmt w:val="bullet"/>
      <w:lvlText w:val="•"/>
      <w:lvlJc w:val="left"/>
      <w:pPr>
        <w:ind w:left="1060" w:hanging="360"/>
      </w:pPr>
      <w:rPr>
        <w:rFonts w:hint="default"/>
        <w:lang w:val="en-GB" w:eastAsia="en-GB" w:bidi="en-GB"/>
      </w:rPr>
    </w:lvl>
    <w:lvl w:ilvl="2" w:tplc="50DC7DF2">
      <w:numFmt w:val="bullet"/>
      <w:lvlText w:val="•"/>
      <w:lvlJc w:val="left"/>
      <w:pPr>
        <w:ind w:left="2021" w:hanging="360"/>
      </w:pPr>
      <w:rPr>
        <w:rFonts w:hint="default"/>
        <w:lang w:val="en-GB" w:eastAsia="en-GB" w:bidi="en-GB"/>
      </w:rPr>
    </w:lvl>
    <w:lvl w:ilvl="3" w:tplc="35F669D0">
      <w:numFmt w:val="bullet"/>
      <w:lvlText w:val="•"/>
      <w:lvlJc w:val="left"/>
      <w:pPr>
        <w:ind w:left="2981" w:hanging="360"/>
      </w:pPr>
      <w:rPr>
        <w:rFonts w:hint="default"/>
        <w:lang w:val="en-GB" w:eastAsia="en-GB" w:bidi="en-GB"/>
      </w:rPr>
    </w:lvl>
    <w:lvl w:ilvl="4" w:tplc="D2A4559C">
      <w:numFmt w:val="bullet"/>
      <w:lvlText w:val="•"/>
      <w:lvlJc w:val="left"/>
      <w:pPr>
        <w:ind w:left="3942" w:hanging="360"/>
      </w:pPr>
      <w:rPr>
        <w:rFonts w:hint="default"/>
        <w:lang w:val="en-GB" w:eastAsia="en-GB" w:bidi="en-GB"/>
      </w:rPr>
    </w:lvl>
    <w:lvl w:ilvl="5" w:tplc="DD6E8358">
      <w:numFmt w:val="bullet"/>
      <w:lvlText w:val="•"/>
      <w:lvlJc w:val="left"/>
      <w:pPr>
        <w:ind w:left="4903" w:hanging="360"/>
      </w:pPr>
      <w:rPr>
        <w:rFonts w:hint="default"/>
        <w:lang w:val="en-GB" w:eastAsia="en-GB" w:bidi="en-GB"/>
      </w:rPr>
    </w:lvl>
    <w:lvl w:ilvl="6" w:tplc="54FCDD5E">
      <w:numFmt w:val="bullet"/>
      <w:lvlText w:val="•"/>
      <w:lvlJc w:val="left"/>
      <w:pPr>
        <w:ind w:left="5863" w:hanging="360"/>
      </w:pPr>
      <w:rPr>
        <w:rFonts w:hint="default"/>
        <w:lang w:val="en-GB" w:eastAsia="en-GB" w:bidi="en-GB"/>
      </w:rPr>
    </w:lvl>
    <w:lvl w:ilvl="7" w:tplc="21F86AD4">
      <w:numFmt w:val="bullet"/>
      <w:lvlText w:val="•"/>
      <w:lvlJc w:val="left"/>
      <w:pPr>
        <w:ind w:left="6824" w:hanging="360"/>
      </w:pPr>
      <w:rPr>
        <w:rFonts w:hint="default"/>
        <w:lang w:val="en-GB" w:eastAsia="en-GB" w:bidi="en-GB"/>
      </w:rPr>
    </w:lvl>
    <w:lvl w:ilvl="8" w:tplc="9E024992">
      <w:numFmt w:val="bullet"/>
      <w:lvlText w:val="•"/>
      <w:lvlJc w:val="left"/>
      <w:pPr>
        <w:ind w:left="7785" w:hanging="360"/>
      </w:pPr>
      <w:rPr>
        <w:rFonts w:hint="default"/>
        <w:lang w:val="en-GB" w:eastAsia="en-GB" w:bidi="en-GB"/>
      </w:rPr>
    </w:lvl>
  </w:abstractNum>
  <w:num w:numId="1" w16cid:durableId="1769808300">
    <w:abstractNumId w:val="0"/>
  </w:num>
  <w:num w:numId="2" w16cid:durableId="1493331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02"/>
    <w:rsid w:val="000C7B2B"/>
    <w:rsid w:val="00114176"/>
    <w:rsid w:val="00165777"/>
    <w:rsid w:val="00183DCA"/>
    <w:rsid w:val="00251242"/>
    <w:rsid w:val="002735FA"/>
    <w:rsid w:val="00277E1F"/>
    <w:rsid w:val="004157F8"/>
    <w:rsid w:val="004B79A3"/>
    <w:rsid w:val="0055799B"/>
    <w:rsid w:val="007579AE"/>
    <w:rsid w:val="00761D34"/>
    <w:rsid w:val="007A4486"/>
    <w:rsid w:val="007D5402"/>
    <w:rsid w:val="008430F6"/>
    <w:rsid w:val="009A1CF9"/>
    <w:rsid w:val="009D286E"/>
    <w:rsid w:val="009F6210"/>
    <w:rsid w:val="00B57053"/>
    <w:rsid w:val="00B71BD2"/>
    <w:rsid w:val="00BB456E"/>
    <w:rsid w:val="00BD432D"/>
    <w:rsid w:val="00C170CB"/>
    <w:rsid w:val="00C33D40"/>
    <w:rsid w:val="00C93488"/>
    <w:rsid w:val="00D96B1B"/>
    <w:rsid w:val="00DA4273"/>
    <w:rsid w:val="00DA70CD"/>
    <w:rsid w:val="00EA1E9B"/>
    <w:rsid w:val="00ED5872"/>
    <w:rsid w:val="00F20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C7E26"/>
  <w15:docId w15:val="{981383AF-266F-4967-8F8D-D9574E68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07" w:right="2591"/>
      <w:outlineLvl w:val="0"/>
    </w:pPr>
    <w:rPr>
      <w:rFonts w:ascii="Trebuchet MS" w:eastAsia="Trebuchet MS" w:hAnsi="Trebuchet MS" w:cs="Trebuchet MS"/>
      <w:b/>
      <w:bCs/>
      <w:sz w:val="77"/>
      <w:szCs w:val="77"/>
    </w:rPr>
  </w:style>
  <w:style w:type="paragraph" w:styleId="Heading2">
    <w:name w:val="heading 2"/>
    <w:basedOn w:val="Normal"/>
    <w:uiPriority w:val="9"/>
    <w:unhideWhenUsed/>
    <w:qFormat/>
    <w:pPr>
      <w:ind w:left="10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sz w:val="24"/>
      <w:szCs w:val="24"/>
    </w:rPr>
  </w:style>
  <w:style w:type="paragraph" w:styleId="ListParagraph">
    <w:name w:val="List Paragraph"/>
    <w:basedOn w:val="Normal"/>
    <w:uiPriority w:val="1"/>
    <w:qFormat/>
    <w:pPr>
      <w:ind w:left="258" w:hanging="1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735FA"/>
    <w:pPr>
      <w:tabs>
        <w:tab w:val="center" w:pos="4513"/>
        <w:tab w:val="right" w:pos="9026"/>
      </w:tabs>
    </w:pPr>
  </w:style>
  <w:style w:type="character" w:customStyle="1" w:styleId="HeaderChar">
    <w:name w:val="Header Char"/>
    <w:basedOn w:val="DefaultParagraphFont"/>
    <w:link w:val="Header"/>
    <w:uiPriority w:val="99"/>
    <w:rsid w:val="002735FA"/>
    <w:rPr>
      <w:rFonts w:ascii="Arial" w:eastAsia="Arial" w:hAnsi="Arial" w:cs="Arial"/>
      <w:lang w:val="en-GB" w:eastAsia="en-GB" w:bidi="en-GB"/>
    </w:rPr>
  </w:style>
  <w:style w:type="paragraph" w:styleId="Footer">
    <w:name w:val="footer"/>
    <w:basedOn w:val="Normal"/>
    <w:link w:val="FooterChar"/>
    <w:uiPriority w:val="99"/>
    <w:unhideWhenUsed/>
    <w:rsid w:val="002735FA"/>
    <w:pPr>
      <w:tabs>
        <w:tab w:val="center" w:pos="4513"/>
        <w:tab w:val="right" w:pos="9026"/>
      </w:tabs>
    </w:pPr>
  </w:style>
  <w:style w:type="character" w:customStyle="1" w:styleId="FooterChar">
    <w:name w:val="Footer Char"/>
    <w:basedOn w:val="DefaultParagraphFont"/>
    <w:link w:val="Footer"/>
    <w:uiPriority w:val="99"/>
    <w:rsid w:val="002735FA"/>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C170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0CB"/>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 TargetMode="External"/><Relationship Id="rId13" Type="http://schemas.openxmlformats.org/officeDocument/2006/relationships/hyperlink" Target="https://ico.org.uk/for-organisations/guide-to-data-protection/principle-7-securit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co.org.uk/for-organisations/guide-to-data-protection/privacy-notices-transparency-and-contro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co.org.uk/media/for-organisations/documents/1570/it_asset_disposal_for_organisations.pdf" TargetMode="External"/><Relationship Id="rId10" Type="http://schemas.openxmlformats.org/officeDocument/2006/relationships/hyperlink" Target="https://ico.org.uk/for-organisations/guide-to-data-protection/key-definitions/" TargetMode="External"/><Relationship Id="rId4" Type="http://schemas.openxmlformats.org/officeDocument/2006/relationships/webSettings" Target="webSettings.xml"/><Relationship Id="rId9" Type="http://schemas.openxmlformats.org/officeDocument/2006/relationships/hyperlink" Target="https://ico.org.uk/about-the-ico/what-we-do/register-of-data-controllers/" TargetMode="External"/><Relationship Id="rId14" Type="http://schemas.openxmlformats.org/officeDocument/2006/relationships/hyperlink" Target="https://ico.org.uk/media/for-organisations/documents/1570/it_asset_disposal_for_organis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DOWNING, Neil</dc:creator>
  <cp:lastModifiedBy>Dave Hill</cp:lastModifiedBy>
  <cp:revision>2</cp:revision>
  <cp:lastPrinted>2020-10-07T06:58:00Z</cp:lastPrinted>
  <dcterms:created xsi:type="dcterms:W3CDTF">2026-01-08T12:23:00Z</dcterms:created>
  <dcterms:modified xsi:type="dcterms:W3CDTF">2026-01-08T12:23:00Z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 2010</vt:lpwstr>
  </property>
  <property fmtid="{D5CDD505-2E9C-101B-9397-08002B2CF9AE}" pid="4" name="LastSaved">
    <vt:filetime>2020-08-18T00:00:00Z</vt:filetime>
  </property>
</Properties>
</file>